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方正小标宋简体" w:eastAsia="方正小标宋简体"/>
          <w:snapToGrid w:val="0"/>
          <w:kern w:val="0"/>
          <w:sz w:val="44"/>
          <w:szCs w:val="44"/>
        </w:rPr>
      </w:pPr>
    </w:p>
    <w:p>
      <w:pPr>
        <w:spacing w:line="560" w:lineRule="exact"/>
        <w:jc w:val="center"/>
        <w:rPr>
          <w:rFonts w:ascii="方正小标宋简体" w:eastAsia="方正小标宋简体"/>
          <w:snapToGrid w:val="0"/>
          <w:kern w:val="0"/>
          <w:sz w:val="44"/>
          <w:szCs w:val="44"/>
        </w:rPr>
      </w:pPr>
    </w:p>
    <w:p>
      <w:pPr>
        <w:spacing w:line="560" w:lineRule="exact"/>
        <w:jc w:val="center"/>
        <w:rPr>
          <w:rFonts w:ascii="方正小标宋简体" w:eastAsia="方正小标宋简体"/>
          <w:snapToGrid w:val="0"/>
          <w:kern w:val="0"/>
          <w:sz w:val="44"/>
          <w:szCs w:val="44"/>
        </w:rPr>
      </w:pPr>
      <w:r>
        <w:rPr>
          <w:rFonts w:hint="eastAsia"/>
        </w:rPr>
        <w:pict>
          <v:shape id="_x0000_s1026" o:spid="_x0000_s1026" o:spt="136" type="#_x0000_t136" style="position:absolute;left:0pt;margin-left:11.3pt;margin-top:12.15pt;height:93.65pt;width:422.3pt;z-index:251666432;mso-width-relative:page;mso-height-relative:page;" fillcolor="#FF0000" filled="t" stroked="f" coordsize="21600,21600" adj="10800">
            <v:path/>
            <v:fill on="t" color2="#FFFFFF" focussize="0,0"/>
            <v:stroke on="f"/>
            <v:imagedata o:title=""/>
            <o:lock v:ext="edit" aspectratio="f"/>
            <v:textpath on="t" fitshape="t" fitpath="t" trim="t" xscale="f" string="滕州市人民政府文件" style="font-family:华文中宋;font-size:36pt;font-weight:bold;v-text-align:center;"/>
          </v:shape>
        </w:pict>
      </w:r>
    </w:p>
    <w:p>
      <w:pPr>
        <w:spacing w:line="560" w:lineRule="exact"/>
        <w:jc w:val="center"/>
        <w:rPr>
          <w:rFonts w:ascii="方正小标宋简体" w:eastAsia="方正小标宋简体"/>
          <w:snapToGrid w:val="0"/>
          <w:kern w:val="0"/>
          <w:sz w:val="44"/>
          <w:szCs w:val="44"/>
        </w:rPr>
      </w:pPr>
    </w:p>
    <w:p>
      <w:pPr>
        <w:spacing w:line="560" w:lineRule="exact"/>
        <w:jc w:val="center"/>
        <w:rPr>
          <w:rFonts w:ascii="方正小标宋简体" w:eastAsia="方正小标宋简体"/>
          <w:snapToGrid w:val="0"/>
          <w:kern w:val="0"/>
          <w:sz w:val="44"/>
          <w:szCs w:val="44"/>
        </w:rPr>
      </w:pPr>
    </w:p>
    <w:p>
      <w:pPr>
        <w:spacing w:line="560" w:lineRule="exact"/>
        <w:jc w:val="center"/>
        <w:rPr>
          <w:rFonts w:hint="eastAsia" w:ascii="仿宋_GB2312" w:eastAsia="仿宋_GB2312"/>
          <w:snapToGrid w:val="0"/>
          <w:kern w:val="0"/>
          <w:sz w:val="32"/>
          <w:szCs w:val="32"/>
        </w:rPr>
      </w:pPr>
    </w:p>
    <w:p>
      <w:pPr>
        <w:keepNext w:val="0"/>
        <w:keepLines w:val="0"/>
        <w:pageBreakBefore w:val="0"/>
        <w:widowControl w:val="0"/>
        <w:kinsoku/>
        <w:wordWrap/>
        <w:overflowPunct/>
        <w:topLinePunct w:val="0"/>
        <w:autoSpaceDE/>
        <w:autoSpaceDN/>
        <w:bidi w:val="0"/>
        <w:adjustRightInd/>
        <w:snapToGrid/>
        <w:spacing w:line="800" w:lineRule="exact"/>
        <w:jc w:val="center"/>
        <w:textAlignment w:val="auto"/>
        <w:rPr>
          <w:rFonts w:hint="eastAsia" w:ascii="仿宋_GB2312" w:eastAsia="仿宋_GB2312"/>
          <w:snapToGrid w:val="0"/>
          <w:kern w:val="0"/>
          <w:sz w:val="32"/>
          <w:szCs w:val="32"/>
        </w:rPr>
      </w:pPr>
    </w:p>
    <w:p>
      <w:pPr>
        <w:spacing w:line="560" w:lineRule="exact"/>
        <w:jc w:val="center"/>
        <w:rPr>
          <w:rFonts w:ascii="仿宋_GB2312" w:eastAsia="仿宋_GB2312"/>
          <w:snapToGrid w:val="0"/>
          <w:kern w:val="0"/>
          <w:sz w:val="32"/>
          <w:szCs w:val="32"/>
        </w:rPr>
      </w:pPr>
      <w:r>
        <w:rPr>
          <w:rFonts w:hint="eastAsia" w:ascii="仿宋_GB2312" w:eastAsia="仿宋_GB2312"/>
          <w:snapToGrid w:val="0"/>
          <w:kern w:val="0"/>
          <w:sz w:val="32"/>
          <w:szCs w:val="32"/>
        </w:rPr>
        <w:t>滕政发〔2</w:t>
      </w:r>
      <w:r>
        <w:rPr>
          <w:rFonts w:ascii="仿宋_GB2312" w:eastAsia="仿宋_GB2312"/>
          <w:snapToGrid w:val="0"/>
          <w:kern w:val="0"/>
          <w:sz w:val="32"/>
          <w:szCs w:val="32"/>
        </w:rPr>
        <w:t>023</w:t>
      </w:r>
      <w:r>
        <w:rPr>
          <w:rFonts w:hint="eastAsia" w:ascii="仿宋_GB2312" w:eastAsia="仿宋_GB2312"/>
          <w:snapToGrid w:val="0"/>
          <w:kern w:val="0"/>
          <w:sz w:val="32"/>
          <w:szCs w:val="32"/>
        </w:rPr>
        <w:t>〕9号</w:t>
      </w:r>
    </w:p>
    <w:p>
      <w:pPr>
        <w:keepNext w:val="0"/>
        <w:keepLines w:val="0"/>
        <w:pageBreakBefore w:val="0"/>
        <w:widowControl w:val="0"/>
        <w:kinsoku/>
        <w:wordWrap/>
        <w:overflowPunct/>
        <w:topLinePunct w:val="0"/>
        <w:autoSpaceDE/>
        <w:autoSpaceDN/>
        <w:bidi w:val="0"/>
        <w:adjustRightInd/>
        <w:snapToGrid/>
        <w:spacing w:line="1000" w:lineRule="exact"/>
        <w:jc w:val="center"/>
        <w:textAlignment w:val="auto"/>
        <w:rPr>
          <w:rFonts w:ascii="方正小标宋简体" w:eastAsia="方正小标宋简体"/>
          <w:snapToGrid w:val="0"/>
          <w:kern w:val="0"/>
          <w:sz w:val="44"/>
          <w:szCs w:val="44"/>
        </w:rPr>
      </w:pPr>
      <w:r>
        <w:rPr>
          <w:rFonts w:hint="eastAsia"/>
        </w:rPr>
        <mc:AlternateContent>
          <mc:Choice Requires="wps">
            <w:drawing>
              <wp:anchor distT="0" distB="0" distL="114300" distR="114300" simplePos="0" relativeHeight="251671552" behindDoc="0" locked="0" layoutInCell="1" allowOverlap="1">
                <wp:simplePos x="0" y="0"/>
                <wp:positionH relativeFrom="column">
                  <wp:posOffset>153670</wp:posOffset>
                </wp:positionH>
                <wp:positionV relativeFrom="paragraph">
                  <wp:posOffset>190500</wp:posOffset>
                </wp:positionV>
                <wp:extent cx="5143500" cy="635"/>
                <wp:effectExtent l="0" t="0" r="0" b="0"/>
                <wp:wrapNone/>
                <wp:docPr id="2" name="直接连接符 2"/>
                <wp:cNvGraphicFramePr/>
                <a:graphic xmlns:a="http://schemas.openxmlformats.org/drawingml/2006/main">
                  <a:graphicData uri="http://schemas.microsoft.com/office/word/2010/wordprocessingShape">
                    <wps:wsp>
                      <wps:cNvCnPr/>
                      <wps:spPr>
                        <a:xfrm>
                          <a:off x="1283970" y="3328035"/>
                          <a:ext cx="5143500" cy="635"/>
                        </a:xfrm>
                        <a:prstGeom prst="line">
                          <a:avLst/>
                        </a:prstGeom>
                        <a:ln w="28575" cap="flat" cmpd="sng">
                          <a:solidFill>
                            <a:srgbClr val="FF0000"/>
                          </a:solidFill>
                          <a:prstDash val="solid"/>
                          <a:headEnd type="none" w="med" len="med"/>
                          <a:tailEnd type="none" w="med" len="med"/>
                        </a:ln>
                        <a:effectLst/>
                      </wps:spPr>
                      <wps:bodyPr upright="true"/>
                    </wps:wsp>
                  </a:graphicData>
                </a:graphic>
              </wp:anchor>
            </w:drawing>
          </mc:Choice>
          <mc:Fallback>
            <w:pict>
              <v:line id="_x0000_s1026" o:spid="_x0000_s1026" o:spt="20" style="position:absolute;left:0pt;margin-left:12.1pt;margin-top:15pt;height:0.05pt;width:405pt;z-index:251671552;mso-width-relative:page;mso-height-relative:page;" filled="f" stroked="t" coordsize="21600,21600" o:gfxdata="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FgAAAGRycy9QSwECFAAUAAAACACHTuJAPHiE2dUAAAAIAQAADwAAAAAAAAABACAAAAA4AAAA&#10;ZHJzL2Rvd25yZXYueG1sUEsBAhQAFAAAAAgAh07iQJlVuI70AQAAtgMAAA4AAAAAAAAAAQAgAAAA&#10;OgEAAGRycy9lMm9Eb2MueG1sUEsFBgAAAAAGAAYAWQEAAKAFAAAAAA==&#10;">
                <v:fill on="f" focussize="0,0"/>
                <v:stroke weight="2.25pt" color="#FF0000" joinstyle="round"/>
                <v:imagedata o:title=""/>
                <o:lock v:ext="edit" aspectratio="f"/>
              </v:line>
            </w:pict>
          </mc:Fallback>
        </mc:AlternateContent>
      </w:r>
    </w:p>
    <w:p>
      <w:pPr>
        <w:spacing w:line="560" w:lineRule="exact"/>
        <w:jc w:val="center"/>
        <w:rPr>
          <w:rFonts w:ascii="方正小标宋简体" w:eastAsia="方正小标宋简体"/>
          <w:snapToGrid w:val="0"/>
          <w:kern w:val="0"/>
          <w:sz w:val="44"/>
          <w:szCs w:val="44"/>
        </w:rPr>
      </w:pPr>
      <w:r>
        <w:rPr>
          <w:rFonts w:hint="eastAsia" w:ascii="方正小标宋简体" w:eastAsia="方正小标宋简体"/>
          <w:snapToGrid w:val="0"/>
          <w:kern w:val="0"/>
          <w:sz w:val="44"/>
          <w:szCs w:val="44"/>
        </w:rPr>
        <w:t>滕州市人民政府</w:t>
      </w:r>
    </w:p>
    <w:p>
      <w:pPr>
        <w:spacing w:line="560" w:lineRule="exact"/>
        <w:jc w:val="center"/>
        <w:rPr>
          <w:rFonts w:ascii="方正小标宋简体" w:eastAsia="方正小标宋简体"/>
          <w:snapToGrid w:val="0"/>
          <w:kern w:val="0"/>
          <w:sz w:val="44"/>
          <w:szCs w:val="44"/>
        </w:rPr>
      </w:pPr>
      <w:r>
        <w:rPr>
          <w:rFonts w:hint="eastAsia" w:ascii="方正小标宋简体" w:eastAsia="方正小标宋简体"/>
          <w:snapToGrid w:val="0"/>
          <w:kern w:val="0"/>
          <w:sz w:val="44"/>
          <w:szCs w:val="44"/>
        </w:rPr>
        <w:t>关于印发《滕州市矿产资源总体规划</w:t>
      </w:r>
    </w:p>
    <w:p>
      <w:pPr>
        <w:spacing w:line="560" w:lineRule="exact"/>
        <w:jc w:val="center"/>
        <w:rPr>
          <w:rFonts w:ascii="方正小标宋简体" w:eastAsia="方正小标宋简体"/>
          <w:snapToGrid w:val="0"/>
          <w:kern w:val="0"/>
          <w:sz w:val="44"/>
          <w:szCs w:val="44"/>
        </w:rPr>
      </w:pPr>
      <w:r>
        <w:rPr>
          <w:rFonts w:hint="eastAsia" w:ascii="方正小标宋简体" w:eastAsia="方正小标宋简体"/>
          <w:snapToGrid w:val="0"/>
          <w:kern w:val="0"/>
          <w:sz w:val="44"/>
          <w:szCs w:val="44"/>
        </w:rPr>
        <w:t>(2021—2025年)》的通知</w:t>
      </w:r>
    </w:p>
    <w:p>
      <w:pPr>
        <w:spacing w:line="560" w:lineRule="exact"/>
        <w:rPr>
          <w:snapToGrid w:val="0"/>
          <w:kern w:val="0"/>
        </w:rPr>
      </w:pPr>
    </w:p>
    <w:p>
      <w:pPr>
        <w:spacing w:line="560" w:lineRule="exact"/>
        <w:rPr>
          <w:rFonts w:ascii="仿宋_GB2312" w:hAnsi="仿宋_GB2312" w:eastAsia="仿宋_GB2312"/>
          <w:snapToGrid w:val="0"/>
          <w:color w:val="000000" w:themeColor="text1"/>
          <w:kern w:val="0"/>
          <w:sz w:val="32"/>
          <w14:textFill>
            <w14:solidFill>
              <w14:schemeClr w14:val="tx1"/>
            </w14:solidFill>
          </w14:textFill>
        </w:rPr>
      </w:pPr>
      <w:r>
        <w:rPr>
          <w:rFonts w:hint="eastAsia" w:ascii="仿宋_GB2312" w:hAnsi="仿宋_GB2312" w:eastAsia="仿宋_GB2312"/>
          <w:snapToGrid w:val="0"/>
          <w:color w:val="000000" w:themeColor="text1"/>
          <w:kern w:val="0"/>
          <w:sz w:val="32"/>
          <w14:textFill>
            <w14:solidFill>
              <w14:schemeClr w14:val="tx1"/>
            </w14:solidFill>
          </w14:textFill>
        </w:rPr>
        <w:t>各镇人民政府、街道办事处，滕州经济技术开发区管委会，市政府各部门，各企事业单位：</w:t>
      </w:r>
    </w:p>
    <w:p>
      <w:pPr>
        <w:spacing w:line="56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现将《滕州市矿产资源总体规划 (2021—2025年)》印发给你们，请认真抓好贯彻落实。</w:t>
      </w:r>
    </w:p>
    <w:p>
      <w:pPr>
        <w:spacing w:line="560" w:lineRule="exact"/>
        <w:jc w:val="right"/>
        <w:rPr>
          <w:rFonts w:ascii="仿宋_GB2312" w:eastAsia="仿宋_GB2312"/>
          <w:snapToGrid w:val="0"/>
          <w:kern w:val="0"/>
          <w:sz w:val="32"/>
          <w:szCs w:val="32"/>
        </w:rPr>
      </w:pPr>
    </w:p>
    <w:p>
      <w:pPr>
        <w:pStyle w:val="2"/>
        <w:spacing w:line="560" w:lineRule="exact"/>
        <w:rPr>
          <w:sz w:val="32"/>
          <w:szCs w:val="32"/>
        </w:rPr>
      </w:pPr>
    </w:p>
    <w:p>
      <w:pPr>
        <w:spacing w:line="560" w:lineRule="exact"/>
        <w:ind w:firstLine="5120" w:firstLineChars="1600"/>
        <w:rPr>
          <w:rFonts w:ascii="仿宋_GB2312" w:eastAsia="仿宋_GB2312"/>
          <w:snapToGrid w:val="0"/>
          <w:kern w:val="0"/>
          <w:sz w:val="32"/>
          <w:szCs w:val="32"/>
        </w:rPr>
      </w:pPr>
      <w:r>
        <w:rPr>
          <w:rFonts w:hint="eastAsia" w:ascii="仿宋_GB2312" w:eastAsia="仿宋_GB2312"/>
          <w:snapToGrid w:val="0"/>
          <w:kern w:val="0"/>
          <w:sz w:val="32"/>
          <w:szCs w:val="32"/>
        </w:rPr>
        <w:t xml:space="preserve">滕州市人民政府 </w:t>
      </w:r>
      <w:r>
        <w:rPr>
          <w:rFonts w:ascii="仿宋_GB2312" w:eastAsia="仿宋_GB2312"/>
          <w:snapToGrid w:val="0"/>
          <w:kern w:val="0"/>
          <w:sz w:val="32"/>
          <w:szCs w:val="32"/>
        </w:rPr>
        <w:t xml:space="preserve">   </w:t>
      </w:r>
    </w:p>
    <w:p>
      <w:pPr>
        <w:spacing w:line="560" w:lineRule="exact"/>
        <w:ind w:firstLine="5120" w:firstLineChars="1600"/>
        <w:rPr>
          <w:rFonts w:ascii="仿宋_GB2312" w:eastAsia="仿宋_GB2312"/>
          <w:snapToGrid w:val="0"/>
          <w:kern w:val="0"/>
          <w:sz w:val="32"/>
          <w:szCs w:val="32"/>
        </w:rPr>
      </w:pPr>
      <w:r>
        <w:rPr>
          <w:rFonts w:hint="eastAsia" w:ascii="仿宋_GB2312" w:eastAsia="仿宋_GB2312"/>
          <w:snapToGrid w:val="0"/>
          <w:kern w:val="0"/>
          <w:sz w:val="32"/>
          <w:szCs w:val="32"/>
        </w:rPr>
        <w:t>2023年</w:t>
      </w:r>
      <w:r>
        <w:rPr>
          <w:rFonts w:ascii="仿宋_GB2312" w:eastAsia="仿宋_GB2312"/>
          <w:snapToGrid w:val="0"/>
          <w:kern w:val="0"/>
          <w:sz w:val="32"/>
          <w:szCs w:val="32"/>
        </w:rPr>
        <w:t>4</w:t>
      </w:r>
      <w:r>
        <w:rPr>
          <w:rFonts w:hint="eastAsia" w:ascii="仿宋_GB2312" w:eastAsia="仿宋_GB2312"/>
          <w:snapToGrid w:val="0"/>
          <w:kern w:val="0"/>
          <w:sz w:val="32"/>
          <w:szCs w:val="32"/>
        </w:rPr>
        <w:t>月</w:t>
      </w:r>
      <w:r>
        <w:rPr>
          <w:rFonts w:ascii="仿宋_GB2312" w:eastAsia="仿宋_GB2312"/>
          <w:snapToGrid w:val="0"/>
          <w:kern w:val="0"/>
          <w:sz w:val="32"/>
          <w:szCs w:val="32"/>
        </w:rPr>
        <w:t>28</w:t>
      </w:r>
      <w:r>
        <w:rPr>
          <w:rFonts w:hint="eastAsia" w:ascii="仿宋_GB2312" w:eastAsia="仿宋_GB2312"/>
          <w:snapToGrid w:val="0"/>
          <w:kern w:val="0"/>
          <w:sz w:val="32"/>
          <w:szCs w:val="32"/>
        </w:rPr>
        <w:t xml:space="preserve">日 </w:t>
      </w:r>
      <w:r>
        <w:rPr>
          <w:rFonts w:ascii="仿宋_GB2312" w:eastAsia="仿宋_GB2312"/>
          <w:snapToGrid w:val="0"/>
          <w:kern w:val="0"/>
          <w:sz w:val="32"/>
          <w:szCs w:val="32"/>
        </w:rPr>
        <w:t xml:space="preserve">   </w:t>
      </w:r>
    </w:p>
    <w:p>
      <w:pPr>
        <w:spacing w:line="560" w:lineRule="exact"/>
        <w:jc w:val="left"/>
        <w:rPr>
          <w:rFonts w:ascii="仿宋_GB2312" w:eastAsia="仿宋_GB2312"/>
          <w:snapToGrid w:val="0"/>
          <w:kern w:val="0"/>
          <w:sz w:val="32"/>
          <w:szCs w:val="32"/>
        </w:rPr>
      </w:pPr>
      <w:r>
        <w:rPr>
          <w:rFonts w:hint="eastAsia" w:ascii="仿宋_GB2312" w:eastAsia="仿宋_GB2312"/>
          <w:snapToGrid w:val="0"/>
          <w:kern w:val="0"/>
          <w:sz w:val="32"/>
          <w:szCs w:val="32"/>
        </w:rPr>
        <w:t>（此件公开发布）</w:t>
      </w:r>
      <w:r>
        <w:rPr>
          <w:rFonts w:ascii="仿宋_GB2312" w:eastAsia="仿宋_GB2312"/>
          <w:snapToGrid w:val="0"/>
          <w:kern w:val="0"/>
          <w:sz w:val="32"/>
          <w:szCs w:val="32"/>
        </w:rPr>
        <w:t xml:space="preserve"> </w:t>
      </w:r>
    </w:p>
    <w:p>
      <w:pPr>
        <w:spacing w:line="560" w:lineRule="exact"/>
        <w:ind w:firstLine="640" w:firstLineChars="200"/>
        <w:rPr>
          <w:snapToGrid w:val="0"/>
          <w:color w:val="000000"/>
          <w:kern w:val="0"/>
          <w:sz w:val="32"/>
          <w:szCs w:val="32"/>
        </w:rPr>
      </w:pPr>
    </w:p>
    <w:p>
      <w:pPr>
        <w:rPr>
          <w:rFonts w:hAnsi="仿宋" w:eastAsia="黑体"/>
          <w:b w:val="0"/>
          <w:snapToGrid w:val="0"/>
          <w:color w:val="000000"/>
          <w:kern w:val="0"/>
          <w:szCs w:val="32"/>
        </w:rPr>
      </w:pPr>
      <w:bookmarkStart w:id="0" w:name="_Toc133399293"/>
      <w:r>
        <w:rPr>
          <w:rFonts w:hAnsi="仿宋" w:eastAsia="黑体"/>
          <w:b w:val="0"/>
          <w:snapToGrid w:val="0"/>
          <w:color w:val="000000"/>
          <w:kern w:val="0"/>
          <w:szCs w:val="32"/>
        </w:rPr>
        <w:br w:type="page"/>
      </w:r>
    </w:p>
    <w:p>
      <w:pPr>
        <w:pStyle w:val="3"/>
        <w:keepNext w:val="0"/>
        <w:keepLines w:val="0"/>
        <w:spacing w:before="0" w:after="0" w:line="540" w:lineRule="exact"/>
        <w:rPr>
          <w:rFonts w:hint="eastAsia" w:hAnsi="仿宋" w:eastAsia="黑体"/>
          <w:b w:val="0"/>
          <w:snapToGrid w:val="0"/>
          <w:color w:val="000000"/>
          <w:kern w:val="0"/>
          <w:szCs w:val="32"/>
        </w:rPr>
      </w:pPr>
    </w:p>
    <w:p>
      <w:pPr>
        <w:pStyle w:val="3"/>
        <w:keepNext w:val="0"/>
        <w:keepLines w:val="0"/>
        <w:spacing w:before="0" w:after="0" w:line="540" w:lineRule="exact"/>
        <w:rPr>
          <w:rFonts w:hAnsi="仿宋" w:eastAsia="黑体"/>
          <w:b w:val="0"/>
          <w:snapToGrid w:val="0"/>
          <w:color w:val="000000"/>
          <w:kern w:val="0"/>
          <w:szCs w:val="32"/>
        </w:rPr>
      </w:pPr>
      <w:r>
        <w:rPr>
          <w:rFonts w:hint="eastAsia" w:hAnsi="仿宋" w:eastAsia="黑体"/>
          <w:b w:val="0"/>
          <w:snapToGrid w:val="0"/>
          <w:color w:val="000000"/>
          <w:kern w:val="0"/>
          <w:szCs w:val="32"/>
        </w:rPr>
        <w:t>总</w:t>
      </w:r>
      <w:r>
        <w:rPr>
          <w:rFonts w:hAnsi="仿宋" w:eastAsia="黑体"/>
          <w:b w:val="0"/>
          <w:snapToGrid w:val="0"/>
          <w:color w:val="000000"/>
          <w:kern w:val="0"/>
          <w:szCs w:val="32"/>
        </w:rPr>
        <w:t xml:space="preserve">  </w:t>
      </w:r>
      <w:r>
        <w:rPr>
          <w:rFonts w:hint="eastAsia" w:hAnsi="仿宋" w:eastAsia="黑体"/>
          <w:b w:val="0"/>
          <w:snapToGrid w:val="0"/>
          <w:color w:val="000000"/>
          <w:kern w:val="0"/>
          <w:szCs w:val="32"/>
        </w:rPr>
        <w:t>则</w:t>
      </w:r>
      <w:bookmarkEnd w:id="0"/>
    </w:p>
    <w:p>
      <w:pPr>
        <w:spacing w:line="540" w:lineRule="exact"/>
        <w:rPr>
          <w:snapToGrid w:val="0"/>
          <w:kern w:val="0"/>
          <w:sz w:val="32"/>
          <w:szCs w:val="32"/>
        </w:rPr>
      </w:pPr>
    </w:p>
    <w:p>
      <w:pPr>
        <w:tabs>
          <w:tab w:val="left" w:pos="567"/>
        </w:tabs>
        <w:spacing w:line="540" w:lineRule="exact"/>
        <w:ind w:firstLine="640" w:firstLineChars="200"/>
        <w:rPr>
          <w:rFonts w:ascii="仿宋_GB2312" w:eastAsia="仿宋_GB2312" w:cs="仿宋_GB2312"/>
          <w:snapToGrid w:val="0"/>
          <w:color w:val="000000"/>
          <w:kern w:val="0"/>
          <w:sz w:val="32"/>
          <w:szCs w:val="32"/>
        </w:rPr>
      </w:pPr>
      <w:r>
        <w:rPr>
          <w:rFonts w:hint="eastAsia" w:ascii="仿宋_GB2312" w:eastAsia="仿宋_GB2312" w:cs="仿宋_GB2312"/>
          <w:snapToGrid w:val="0"/>
          <w:color w:val="000000"/>
          <w:kern w:val="0"/>
          <w:sz w:val="32"/>
          <w:szCs w:val="32"/>
        </w:rPr>
        <w:t>矿产资源是经济发展之物质基础，为更好发挥矿产资源对滕州市经济发展的支撑作用，统筹谋划好“十四五”期间滕州市矿产资源开发与生态环境保护，推动矿业高质量发展，依据《中华人民共和国矿产资源法》《矿产资源规划编制实施办法》《山东省矿产资源总体规划（</w:t>
      </w:r>
      <w:r>
        <w:rPr>
          <w:rFonts w:ascii="仿宋_GB2312" w:eastAsia="仿宋_GB2312" w:cs="仿宋_GB2312"/>
          <w:snapToGrid w:val="0"/>
          <w:color w:val="000000"/>
          <w:kern w:val="0"/>
          <w:sz w:val="32"/>
          <w:szCs w:val="32"/>
        </w:rPr>
        <w:t>2021</w:t>
      </w:r>
      <w:r>
        <w:rPr>
          <w:rFonts w:hint="eastAsia" w:ascii="仿宋_GB2312" w:eastAsia="仿宋_GB2312" w:cs="仿宋_GB2312"/>
          <w:snapToGrid w:val="0"/>
          <w:color w:val="000000"/>
          <w:kern w:val="0"/>
          <w:sz w:val="32"/>
          <w:szCs w:val="32"/>
        </w:rPr>
        <w:t>—</w:t>
      </w:r>
      <w:r>
        <w:rPr>
          <w:rFonts w:ascii="仿宋_GB2312" w:eastAsia="仿宋_GB2312" w:cs="仿宋_GB2312"/>
          <w:snapToGrid w:val="0"/>
          <w:color w:val="000000"/>
          <w:kern w:val="0"/>
          <w:sz w:val="32"/>
          <w:szCs w:val="32"/>
        </w:rPr>
        <w:t>2025</w:t>
      </w:r>
      <w:r>
        <w:rPr>
          <w:rFonts w:hint="eastAsia" w:ascii="仿宋_GB2312" w:eastAsia="仿宋_GB2312" w:cs="仿宋_GB2312"/>
          <w:snapToGrid w:val="0"/>
          <w:color w:val="000000"/>
          <w:kern w:val="0"/>
          <w:sz w:val="32"/>
          <w:szCs w:val="32"/>
        </w:rPr>
        <w:t>年）》《枣庄市矿产资源总体规划（</w:t>
      </w:r>
      <w:r>
        <w:rPr>
          <w:rFonts w:ascii="仿宋_GB2312" w:eastAsia="仿宋_GB2312" w:cs="仿宋_GB2312"/>
          <w:snapToGrid w:val="0"/>
          <w:color w:val="000000"/>
          <w:kern w:val="0"/>
          <w:sz w:val="32"/>
          <w:szCs w:val="32"/>
        </w:rPr>
        <w:t>2021</w:t>
      </w:r>
      <w:r>
        <w:rPr>
          <w:rFonts w:hint="eastAsia" w:ascii="仿宋_GB2312" w:eastAsia="仿宋_GB2312" w:cs="仿宋_GB2312"/>
          <w:snapToGrid w:val="0"/>
          <w:color w:val="000000"/>
          <w:kern w:val="0"/>
          <w:sz w:val="32"/>
          <w:szCs w:val="32"/>
        </w:rPr>
        <w:t>—</w:t>
      </w:r>
      <w:r>
        <w:rPr>
          <w:rFonts w:ascii="仿宋_GB2312" w:eastAsia="仿宋_GB2312" w:cs="仿宋_GB2312"/>
          <w:snapToGrid w:val="0"/>
          <w:color w:val="000000"/>
          <w:kern w:val="0"/>
          <w:sz w:val="32"/>
          <w:szCs w:val="32"/>
        </w:rPr>
        <w:t>2025</w:t>
      </w:r>
      <w:r>
        <w:rPr>
          <w:rFonts w:hint="eastAsia" w:ascii="仿宋_GB2312" w:eastAsia="仿宋_GB2312" w:cs="仿宋_GB2312"/>
          <w:snapToGrid w:val="0"/>
          <w:color w:val="000000"/>
          <w:kern w:val="0"/>
          <w:sz w:val="32"/>
          <w:szCs w:val="32"/>
        </w:rPr>
        <w:t>年）》《滕州市国民经济和社会发展第十四个五年规划和二〇三五年远景目标》《自然资源部关于全面开展矿产资源规划（</w:t>
      </w:r>
      <w:r>
        <w:rPr>
          <w:rFonts w:ascii="仿宋_GB2312" w:eastAsia="仿宋_GB2312" w:cs="仿宋_GB2312"/>
          <w:snapToGrid w:val="0"/>
          <w:color w:val="000000"/>
          <w:kern w:val="0"/>
          <w:sz w:val="32"/>
          <w:szCs w:val="32"/>
        </w:rPr>
        <w:t>2021</w:t>
      </w:r>
      <w:r>
        <w:rPr>
          <w:rFonts w:hint="eastAsia" w:ascii="仿宋_GB2312" w:eastAsia="仿宋_GB2312" w:cs="仿宋_GB2312"/>
          <w:snapToGrid w:val="0"/>
          <w:color w:val="000000"/>
          <w:kern w:val="0"/>
          <w:sz w:val="32"/>
          <w:szCs w:val="32"/>
        </w:rPr>
        <w:t>—</w:t>
      </w:r>
      <w:r>
        <w:rPr>
          <w:rFonts w:ascii="仿宋_GB2312" w:eastAsia="仿宋_GB2312" w:cs="仿宋_GB2312"/>
          <w:snapToGrid w:val="0"/>
          <w:color w:val="000000"/>
          <w:kern w:val="0"/>
          <w:sz w:val="32"/>
          <w:szCs w:val="32"/>
        </w:rPr>
        <w:t>2025</w:t>
      </w:r>
      <w:r>
        <w:rPr>
          <w:rFonts w:hint="eastAsia" w:ascii="仿宋_GB2312" w:eastAsia="仿宋_GB2312" w:cs="仿宋_GB2312"/>
          <w:snapToGrid w:val="0"/>
          <w:color w:val="000000"/>
          <w:kern w:val="0"/>
          <w:sz w:val="32"/>
          <w:szCs w:val="32"/>
        </w:rPr>
        <w:t>年）编制工作的通知》《自然资源部办公厅关于印发〈省级矿产资源总体规划编制技术规程〉和〈市县级矿产资源总体规划编制要点〉的通知》《山东省自然资源厅关于全面开展矿产资源总体规划（</w:t>
      </w:r>
      <w:r>
        <w:rPr>
          <w:rFonts w:ascii="仿宋_GB2312" w:eastAsia="仿宋_GB2312" w:cs="仿宋_GB2312"/>
          <w:snapToGrid w:val="0"/>
          <w:color w:val="000000"/>
          <w:kern w:val="0"/>
          <w:sz w:val="32"/>
          <w:szCs w:val="32"/>
        </w:rPr>
        <w:t>2021</w:t>
      </w:r>
      <w:r>
        <w:rPr>
          <w:rFonts w:hint="eastAsia" w:ascii="仿宋_GB2312" w:eastAsia="仿宋_GB2312" w:cs="仿宋_GB2312"/>
          <w:snapToGrid w:val="0"/>
          <w:color w:val="000000"/>
          <w:kern w:val="0"/>
          <w:sz w:val="32"/>
          <w:szCs w:val="32"/>
        </w:rPr>
        <w:t>—</w:t>
      </w:r>
      <w:r>
        <w:rPr>
          <w:rFonts w:ascii="仿宋_GB2312" w:eastAsia="仿宋_GB2312" w:cs="仿宋_GB2312"/>
          <w:snapToGrid w:val="0"/>
          <w:color w:val="000000"/>
          <w:kern w:val="0"/>
          <w:sz w:val="32"/>
          <w:szCs w:val="32"/>
        </w:rPr>
        <w:t>2025</w:t>
      </w:r>
      <w:r>
        <w:rPr>
          <w:rFonts w:hint="eastAsia" w:ascii="仿宋_GB2312" w:eastAsia="仿宋_GB2312" w:cs="仿宋_GB2312"/>
          <w:snapToGrid w:val="0"/>
          <w:color w:val="000000"/>
          <w:kern w:val="0"/>
          <w:sz w:val="32"/>
          <w:szCs w:val="32"/>
        </w:rPr>
        <w:t>年）》（鲁自然资字〔</w:t>
      </w:r>
      <w:r>
        <w:rPr>
          <w:rFonts w:ascii="仿宋_GB2312" w:eastAsia="仿宋_GB2312" w:cs="仿宋_GB2312"/>
          <w:snapToGrid w:val="0"/>
          <w:color w:val="000000"/>
          <w:kern w:val="0"/>
          <w:sz w:val="32"/>
          <w:szCs w:val="32"/>
        </w:rPr>
        <w:t>2020</w:t>
      </w:r>
      <w:r>
        <w:rPr>
          <w:rFonts w:hint="eastAsia" w:ascii="仿宋_GB2312" w:eastAsia="仿宋_GB2312" w:cs="仿宋_GB2312"/>
          <w:snapToGrid w:val="0"/>
          <w:color w:val="000000"/>
          <w:kern w:val="0"/>
          <w:sz w:val="32"/>
          <w:szCs w:val="32"/>
        </w:rPr>
        <w:t>〕</w:t>
      </w:r>
      <w:r>
        <w:rPr>
          <w:rFonts w:ascii="仿宋_GB2312" w:eastAsia="仿宋_GB2312" w:cs="仿宋_GB2312"/>
          <w:snapToGrid w:val="0"/>
          <w:color w:val="000000"/>
          <w:kern w:val="0"/>
          <w:sz w:val="32"/>
          <w:szCs w:val="32"/>
        </w:rPr>
        <w:t>47</w:t>
      </w:r>
      <w:r>
        <w:rPr>
          <w:rFonts w:hint="eastAsia" w:ascii="仿宋_GB2312" w:eastAsia="仿宋_GB2312" w:cs="仿宋_GB2312"/>
          <w:snapToGrid w:val="0"/>
          <w:color w:val="000000"/>
          <w:kern w:val="0"/>
          <w:sz w:val="32"/>
          <w:szCs w:val="32"/>
        </w:rPr>
        <w:t>号）等法律法规及文件要求，编制《滕州市矿产资源总体规划（</w:t>
      </w:r>
      <w:r>
        <w:rPr>
          <w:rFonts w:ascii="仿宋_GB2312" w:eastAsia="仿宋_GB2312" w:cs="仿宋_GB2312"/>
          <w:snapToGrid w:val="0"/>
          <w:color w:val="000000"/>
          <w:kern w:val="0"/>
          <w:sz w:val="32"/>
          <w:szCs w:val="32"/>
        </w:rPr>
        <w:t>2021</w:t>
      </w:r>
      <w:r>
        <w:rPr>
          <w:rFonts w:hint="eastAsia" w:ascii="仿宋_GB2312" w:eastAsia="仿宋_GB2312" w:cs="仿宋_GB2312"/>
          <w:snapToGrid w:val="0"/>
          <w:color w:val="000000"/>
          <w:kern w:val="0"/>
          <w:sz w:val="32"/>
          <w:szCs w:val="32"/>
        </w:rPr>
        <w:t>—</w:t>
      </w:r>
      <w:r>
        <w:rPr>
          <w:rFonts w:ascii="仿宋_GB2312" w:eastAsia="仿宋_GB2312" w:cs="仿宋_GB2312"/>
          <w:snapToGrid w:val="0"/>
          <w:color w:val="000000"/>
          <w:kern w:val="0"/>
          <w:sz w:val="32"/>
          <w:szCs w:val="32"/>
        </w:rPr>
        <w:t>2025</w:t>
      </w:r>
      <w:r>
        <w:rPr>
          <w:rFonts w:hint="eastAsia" w:ascii="仿宋_GB2312" w:eastAsia="仿宋_GB2312" w:cs="仿宋_GB2312"/>
          <w:snapToGrid w:val="0"/>
          <w:color w:val="000000"/>
          <w:kern w:val="0"/>
          <w:sz w:val="32"/>
          <w:szCs w:val="32"/>
        </w:rPr>
        <w:t>年）》</w:t>
      </w:r>
      <w:r>
        <w:rPr>
          <w:rFonts w:ascii="仿宋_GB2312" w:eastAsia="仿宋_GB2312" w:cs="仿宋_GB2312"/>
          <w:snapToGrid w:val="0"/>
          <w:color w:val="000000"/>
          <w:kern w:val="0"/>
          <w:sz w:val="32"/>
          <w:szCs w:val="32"/>
        </w:rPr>
        <w:t>(</w:t>
      </w:r>
      <w:r>
        <w:rPr>
          <w:rFonts w:hint="eastAsia" w:ascii="仿宋_GB2312" w:eastAsia="仿宋_GB2312" w:cs="仿宋_GB2312"/>
          <w:snapToGrid w:val="0"/>
          <w:color w:val="000000"/>
          <w:kern w:val="0"/>
          <w:sz w:val="32"/>
          <w:szCs w:val="32"/>
        </w:rPr>
        <w:t>以下简称《规划》</w:t>
      </w:r>
      <w:r>
        <w:rPr>
          <w:rFonts w:ascii="仿宋_GB2312" w:eastAsia="仿宋_GB2312" w:cs="仿宋_GB2312"/>
          <w:snapToGrid w:val="0"/>
          <w:color w:val="000000"/>
          <w:kern w:val="0"/>
          <w:sz w:val="32"/>
          <w:szCs w:val="32"/>
        </w:rPr>
        <w:t>)</w:t>
      </w:r>
      <w:r>
        <w:rPr>
          <w:rFonts w:hint="eastAsia" w:ascii="仿宋_GB2312" w:eastAsia="仿宋_GB2312" w:cs="仿宋_GB2312"/>
          <w:snapToGrid w:val="0"/>
          <w:color w:val="000000"/>
          <w:kern w:val="0"/>
          <w:sz w:val="32"/>
          <w:szCs w:val="32"/>
        </w:rPr>
        <w:t>。</w:t>
      </w:r>
      <w:bookmarkStart w:id="142" w:name="_GoBack"/>
      <w:bookmarkEnd w:id="142"/>
    </w:p>
    <w:p>
      <w:pPr>
        <w:tabs>
          <w:tab w:val="left" w:pos="567"/>
        </w:tabs>
        <w:spacing w:line="540" w:lineRule="exact"/>
        <w:ind w:firstLine="640" w:firstLineChars="200"/>
        <w:rPr>
          <w:rFonts w:ascii="仿宋_GB2312" w:eastAsia="仿宋_GB2312" w:cs="仿宋_GB2312"/>
          <w:snapToGrid w:val="0"/>
          <w:color w:val="000000"/>
          <w:kern w:val="0"/>
          <w:sz w:val="32"/>
          <w:szCs w:val="32"/>
        </w:rPr>
      </w:pPr>
      <w:r>
        <w:rPr>
          <w:rFonts w:hint="eastAsia" w:ascii="仿宋_GB2312" w:eastAsia="仿宋_GB2312" w:cs="仿宋_GB2312"/>
          <w:snapToGrid w:val="0"/>
          <w:color w:val="000000"/>
          <w:kern w:val="0"/>
          <w:sz w:val="32"/>
          <w:szCs w:val="32"/>
        </w:rPr>
        <w:t>《规划》是对省、市规划的进一步细化落实，是依法履行矿产资源管理的重要手段，是依法审批和监督管理矿产资源勘查、开发利用与保护活动的重要依据，是指导滕州市规划期内矿产资源勘查、开发利用与保护的重要抓手。涉及矿产资源勘查开发保护活动的相关规划，应与本《规划》做好衔接。</w:t>
      </w:r>
    </w:p>
    <w:p>
      <w:pPr>
        <w:tabs>
          <w:tab w:val="left" w:pos="567"/>
        </w:tabs>
        <w:spacing w:line="540" w:lineRule="exact"/>
        <w:ind w:firstLine="640" w:firstLineChars="200"/>
        <w:rPr>
          <w:rFonts w:ascii="仿宋_GB2312" w:eastAsia="仿宋_GB2312" w:cs="仿宋_GB2312"/>
          <w:snapToGrid w:val="0"/>
          <w:color w:val="000000"/>
          <w:kern w:val="0"/>
          <w:sz w:val="32"/>
          <w:szCs w:val="32"/>
        </w:rPr>
      </w:pPr>
      <w:r>
        <w:rPr>
          <w:rFonts w:hint="eastAsia" w:ascii="仿宋_GB2312" w:eastAsia="仿宋_GB2312" w:cs="仿宋_GB2312"/>
          <w:snapToGrid w:val="0"/>
          <w:color w:val="000000"/>
          <w:kern w:val="0"/>
          <w:sz w:val="32"/>
          <w:szCs w:val="32"/>
        </w:rPr>
        <w:t>《规划》以</w:t>
      </w:r>
      <w:r>
        <w:rPr>
          <w:rFonts w:ascii="仿宋_GB2312" w:eastAsia="仿宋_GB2312" w:cs="仿宋_GB2312"/>
          <w:snapToGrid w:val="0"/>
          <w:color w:val="000000"/>
          <w:kern w:val="0"/>
          <w:sz w:val="32"/>
          <w:szCs w:val="32"/>
        </w:rPr>
        <w:t>2020</w:t>
      </w:r>
      <w:r>
        <w:rPr>
          <w:rFonts w:hint="eastAsia" w:ascii="仿宋_GB2312" w:eastAsia="仿宋_GB2312" w:cs="仿宋_GB2312"/>
          <w:snapToGrid w:val="0"/>
          <w:color w:val="000000"/>
          <w:kern w:val="0"/>
          <w:sz w:val="32"/>
          <w:szCs w:val="32"/>
        </w:rPr>
        <w:t>年为基期，</w:t>
      </w:r>
      <w:r>
        <w:rPr>
          <w:rFonts w:ascii="仿宋_GB2312" w:eastAsia="仿宋_GB2312" w:cs="仿宋_GB2312"/>
          <w:snapToGrid w:val="0"/>
          <w:color w:val="000000"/>
          <w:kern w:val="0"/>
          <w:sz w:val="32"/>
          <w:szCs w:val="32"/>
        </w:rPr>
        <w:t>2025</w:t>
      </w:r>
      <w:r>
        <w:rPr>
          <w:rFonts w:hint="eastAsia" w:ascii="仿宋_GB2312" w:eastAsia="仿宋_GB2312" w:cs="仿宋_GB2312"/>
          <w:snapToGrid w:val="0"/>
          <w:color w:val="000000"/>
          <w:kern w:val="0"/>
          <w:sz w:val="32"/>
          <w:szCs w:val="32"/>
        </w:rPr>
        <w:t>年为目标年，展望到</w:t>
      </w:r>
      <w:r>
        <w:rPr>
          <w:rFonts w:ascii="仿宋_GB2312" w:eastAsia="仿宋_GB2312" w:cs="仿宋_GB2312"/>
          <w:snapToGrid w:val="0"/>
          <w:color w:val="000000"/>
          <w:kern w:val="0"/>
          <w:sz w:val="32"/>
          <w:szCs w:val="32"/>
        </w:rPr>
        <w:t>2035</w:t>
      </w:r>
      <w:r>
        <w:rPr>
          <w:rFonts w:hint="eastAsia" w:ascii="仿宋_GB2312" w:eastAsia="仿宋_GB2312" w:cs="仿宋_GB2312"/>
          <w:snapToGrid w:val="0"/>
          <w:color w:val="000000"/>
          <w:kern w:val="0"/>
          <w:sz w:val="32"/>
          <w:szCs w:val="32"/>
        </w:rPr>
        <w:t>年。</w:t>
      </w:r>
    </w:p>
    <w:p>
      <w:pPr>
        <w:tabs>
          <w:tab w:val="left" w:pos="567"/>
        </w:tabs>
        <w:spacing w:line="540" w:lineRule="exact"/>
        <w:ind w:firstLine="640" w:firstLineChars="200"/>
        <w:rPr>
          <w:rFonts w:hint="eastAsia" w:ascii="仿宋_GB2312" w:eastAsia="仿宋_GB2312" w:cs="仿宋_GB2312"/>
          <w:snapToGrid w:val="0"/>
          <w:color w:val="000000"/>
          <w:kern w:val="0"/>
          <w:sz w:val="32"/>
          <w:szCs w:val="32"/>
        </w:rPr>
      </w:pPr>
      <w:r>
        <w:rPr>
          <w:rFonts w:hint="eastAsia" w:ascii="仿宋_GB2312" w:eastAsia="仿宋_GB2312" w:cs="仿宋_GB2312"/>
          <w:snapToGrid w:val="0"/>
          <w:color w:val="000000"/>
          <w:kern w:val="0"/>
          <w:sz w:val="32"/>
          <w:szCs w:val="32"/>
        </w:rPr>
        <w:t>《规划》适用于滕州市行政辖区。</w:t>
      </w:r>
      <w:bookmarkStart w:id="1" w:name="_Toc133399294"/>
    </w:p>
    <w:p>
      <w:pPr>
        <w:tabs>
          <w:tab w:val="left" w:pos="567"/>
        </w:tabs>
        <w:spacing w:line="540" w:lineRule="exact"/>
        <w:ind w:firstLine="640" w:firstLineChars="200"/>
        <w:rPr>
          <w:rFonts w:hAnsi="仿宋" w:eastAsia="黑体"/>
          <w:b w:val="0"/>
          <w:snapToGrid w:val="0"/>
          <w:color w:val="000000"/>
          <w:kern w:val="0"/>
          <w:sz w:val="32"/>
          <w:szCs w:val="32"/>
        </w:rPr>
      </w:pPr>
      <w:r>
        <w:rPr>
          <w:rFonts w:hint="eastAsia" w:hAnsi="仿宋" w:eastAsia="黑体"/>
          <w:b w:val="0"/>
          <w:snapToGrid w:val="0"/>
          <w:color w:val="000000"/>
          <w:kern w:val="0"/>
          <w:sz w:val="32"/>
          <w:szCs w:val="32"/>
        </w:rPr>
        <w:t>一、现状与形势</w:t>
      </w:r>
      <w:bookmarkEnd w:id="1"/>
    </w:p>
    <w:p>
      <w:pPr>
        <w:spacing w:line="560" w:lineRule="exact"/>
        <w:ind w:firstLine="640" w:firstLineChars="200"/>
        <w:rPr>
          <w:rFonts w:ascii="仿宋_GB2312" w:eastAsia="仿宋_GB2312"/>
          <w:snapToGrid w:val="0"/>
          <w:color w:val="000000"/>
          <w:kern w:val="0"/>
          <w:sz w:val="32"/>
          <w:szCs w:val="32"/>
        </w:rPr>
      </w:pPr>
      <w:r>
        <w:rPr>
          <w:rFonts w:hint="eastAsia" w:ascii="仿宋_GB2312" w:eastAsia="仿宋_GB2312"/>
          <w:snapToGrid w:val="0"/>
          <w:color w:val="000000"/>
          <w:kern w:val="0"/>
          <w:sz w:val="32"/>
          <w:szCs w:val="32"/>
        </w:rPr>
        <w:t>滕州市地处山东南部，面积1495平方千米，户籍人口</w:t>
      </w:r>
      <w:r>
        <w:rPr>
          <w:rFonts w:hint="eastAsia" w:ascii="仿宋_GB2312" w:eastAsia="仿宋_GB2312"/>
          <w:snapToGrid w:val="0"/>
          <w:kern w:val="0"/>
          <w:sz w:val="32"/>
          <w:szCs w:val="32"/>
        </w:rPr>
        <w:t>约17</w:t>
      </w:r>
      <w:r>
        <w:rPr>
          <w:rFonts w:ascii="仿宋_GB2312" w:eastAsia="仿宋_GB2312"/>
          <w:snapToGrid w:val="0"/>
          <w:kern w:val="0"/>
          <w:sz w:val="32"/>
          <w:szCs w:val="32"/>
        </w:rPr>
        <w:t>6</w:t>
      </w:r>
      <w:r>
        <w:rPr>
          <w:rFonts w:hint="eastAsia" w:ascii="仿宋_GB2312" w:eastAsia="仿宋_GB2312"/>
          <w:snapToGrid w:val="0"/>
          <w:color w:val="000000"/>
          <w:kern w:val="0"/>
          <w:sz w:val="32"/>
          <w:szCs w:val="32"/>
        </w:rPr>
        <w:t>万，是山东省人口最多的县级市。滕州地处鲁中南山区的西南麓延伸地带，东与</w:t>
      </w:r>
      <w:r>
        <w:fldChar w:fldCharType="begin"/>
      </w:r>
      <w:r>
        <w:instrText xml:space="preserve"> HYPERLINK "https://baike.baidu.com/item/%E5%B1%B1%E4%BA%AD%E5%8C%BA/135937" \t "_blank" </w:instrText>
      </w:r>
      <w:r>
        <w:fldChar w:fldCharType="separate"/>
      </w:r>
      <w:r>
        <w:rPr>
          <w:rFonts w:hint="eastAsia" w:ascii="仿宋_GB2312" w:eastAsia="仿宋_GB2312"/>
          <w:snapToGrid w:val="0"/>
          <w:color w:val="000000"/>
          <w:kern w:val="0"/>
          <w:sz w:val="32"/>
          <w:szCs w:val="32"/>
        </w:rPr>
        <w:t>山亭区</w:t>
      </w:r>
      <w:r>
        <w:rPr>
          <w:rFonts w:hint="eastAsia" w:ascii="仿宋_GB2312" w:eastAsia="仿宋_GB2312"/>
          <w:snapToGrid w:val="0"/>
          <w:color w:val="000000"/>
          <w:kern w:val="0"/>
          <w:sz w:val="32"/>
          <w:szCs w:val="32"/>
        </w:rPr>
        <w:fldChar w:fldCharType="end"/>
      </w:r>
      <w:r>
        <w:rPr>
          <w:rFonts w:hint="eastAsia" w:ascii="仿宋_GB2312" w:eastAsia="仿宋_GB2312"/>
          <w:snapToGrid w:val="0"/>
          <w:color w:val="000000"/>
          <w:kern w:val="0"/>
          <w:sz w:val="32"/>
          <w:szCs w:val="32"/>
        </w:rPr>
        <w:t>毗邻，南与</w:t>
      </w:r>
      <w:r>
        <w:fldChar w:fldCharType="begin"/>
      </w:r>
      <w:r>
        <w:instrText xml:space="preserve"> HYPERLINK "https://baike.baidu.com/item/%E8%96%9B%E5%9F%8E%E5%8C%BA/10608282" \t "_blank" </w:instrText>
      </w:r>
      <w:r>
        <w:fldChar w:fldCharType="separate"/>
      </w:r>
      <w:r>
        <w:rPr>
          <w:rFonts w:hint="eastAsia" w:ascii="仿宋_GB2312" w:eastAsia="仿宋_GB2312"/>
          <w:snapToGrid w:val="0"/>
          <w:color w:val="000000"/>
          <w:kern w:val="0"/>
          <w:sz w:val="32"/>
          <w:szCs w:val="32"/>
        </w:rPr>
        <w:t>薛城区</w:t>
      </w:r>
      <w:r>
        <w:rPr>
          <w:rFonts w:hint="eastAsia" w:ascii="仿宋_GB2312" w:eastAsia="仿宋_GB2312"/>
          <w:snapToGrid w:val="0"/>
          <w:color w:val="000000"/>
          <w:kern w:val="0"/>
          <w:sz w:val="32"/>
          <w:szCs w:val="32"/>
        </w:rPr>
        <w:fldChar w:fldCharType="end"/>
      </w:r>
      <w:r>
        <w:rPr>
          <w:rFonts w:hint="eastAsia" w:ascii="仿宋_GB2312" w:eastAsia="仿宋_GB2312"/>
          <w:snapToGrid w:val="0"/>
          <w:color w:val="000000"/>
          <w:kern w:val="0"/>
          <w:sz w:val="32"/>
          <w:szCs w:val="32"/>
        </w:rPr>
        <w:t>交界，西与</w:t>
      </w:r>
      <w:r>
        <w:fldChar w:fldCharType="begin"/>
      </w:r>
      <w:r>
        <w:instrText xml:space="preserve"> HYPERLINK "https://baike.baidu.com/item/%E6%B5%8E%E5%AE%81%E5%B8%82/2446582" \t "_blank" </w:instrText>
      </w:r>
      <w:r>
        <w:fldChar w:fldCharType="separate"/>
      </w:r>
      <w:r>
        <w:rPr>
          <w:rFonts w:hint="eastAsia" w:ascii="仿宋_GB2312" w:eastAsia="仿宋_GB2312"/>
          <w:snapToGrid w:val="0"/>
          <w:color w:val="000000"/>
          <w:kern w:val="0"/>
          <w:sz w:val="32"/>
          <w:szCs w:val="32"/>
        </w:rPr>
        <w:t>济宁市</w:t>
      </w:r>
      <w:r>
        <w:rPr>
          <w:rFonts w:hint="eastAsia" w:ascii="仿宋_GB2312" w:eastAsia="仿宋_GB2312"/>
          <w:snapToGrid w:val="0"/>
          <w:color w:val="000000"/>
          <w:kern w:val="0"/>
          <w:sz w:val="32"/>
          <w:szCs w:val="32"/>
        </w:rPr>
        <w:fldChar w:fldCharType="end"/>
      </w:r>
      <w:r>
        <w:fldChar w:fldCharType="begin"/>
      </w:r>
      <w:r>
        <w:instrText xml:space="preserve"> HYPERLINK "https://baike.baidu.com/item/%E5%BE%AE%E5%B1%B1%E5%8E%BF/2446828" \t "_blank" </w:instrText>
      </w:r>
      <w:r>
        <w:fldChar w:fldCharType="separate"/>
      </w:r>
      <w:r>
        <w:rPr>
          <w:rFonts w:hint="eastAsia" w:ascii="仿宋_GB2312" w:eastAsia="仿宋_GB2312"/>
          <w:snapToGrid w:val="0"/>
          <w:color w:val="000000"/>
          <w:kern w:val="0"/>
          <w:sz w:val="32"/>
          <w:szCs w:val="32"/>
        </w:rPr>
        <w:t>微山县</w:t>
      </w:r>
      <w:r>
        <w:rPr>
          <w:rFonts w:hint="eastAsia" w:ascii="仿宋_GB2312" w:eastAsia="仿宋_GB2312"/>
          <w:snapToGrid w:val="0"/>
          <w:color w:val="000000"/>
          <w:kern w:val="0"/>
          <w:sz w:val="32"/>
          <w:szCs w:val="32"/>
        </w:rPr>
        <w:fldChar w:fldCharType="end"/>
      </w:r>
      <w:r>
        <w:rPr>
          <w:rFonts w:hint="eastAsia" w:ascii="仿宋_GB2312" w:eastAsia="仿宋_GB2312"/>
          <w:snapToGrid w:val="0"/>
          <w:color w:val="000000"/>
          <w:kern w:val="0"/>
          <w:sz w:val="32"/>
          <w:szCs w:val="32"/>
        </w:rPr>
        <w:t>相连，北和</w:t>
      </w:r>
      <w:r>
        <w:fldChar w:fldCharType="begin"/>
      </w:r>
      <w:r>
        <w:instrText xml:space="preserve"> HYPERLINK "https://baike.baidu.com/item/%E6%B5%8E%E5%AE%81%E5%B8%82/2446582" \t "_blank" </w:instrText>
      </w:r>
      <w:r>
        <w:fldChar w:fldCharType="separate"/>
      </w:r>
      <w:r>
        <w:rPr>
          <w:rFonts w:hint="eastAsia" w:ascii="仿宋_GB2312" w:eastAsia="仿宋_GB2312"/>
          <w:snapToGrid w:val="0"/>
          <w:color w:val="000000"/>
          <w:kern w:val="0"/>
          <w:sz w:val="32"/>
          <w:szCs w:val="32"/>
        </w:rPr>
        <w:t>济宁市</w:t>
      </w:r>
      <w:r>
        <w:rPr>
          <w:rFonts w:hint="eastAsia" w:ascii="仿宋_GB2312" w:eastAsia="仿宋_GB2312"/>
          <w:snapToGrid w:val="0"/>
          <w:color w:val="000000"/>
          <w:kern w:val="0"/>
          <w:sz w:val="32"/>
          <w:szCs w:val="32"/>
        </w:rPr>
        <w:fldChar w:fldCharType="end"/>
      </w:r>
      <w:r>
        <w:fldChar w:fldCharType="begin"/>
      </w:r>
      <w:r>
        <w:instrText xml:space="preserve"> HYPERLINK "https://baike.baidu.com/item/%E9%82%B9%E5%9F%8E%E5%B8%82/227736" \t "_blank" </w:instrText>
      </w:r>
      <w:r>
        <w:fldChar w:fldCharType="separate"/>
      </w:r>
      <w:r>
        <w:rPr>
          <w:rFonts w:hint="eastAsia" w:ascii="仿宋_GB2312" w:eastAsia="仿宋_GB2312"/>
          <w:snapToGrid w:val="0"/>
          <w:color w:val="000000"/>
          <w:kern w:val="0"/>
          <w:sz w:val="32"/>
          <w:szCs w:val="32"/>
        </w:rPr>
        <w:t>邹城市</w:t>
      </w:r>
      <w:r>
        <w:rPr>
          <w:rFonts w:hint="eastAsia" w:ascii="仿宋_GB2312" w:eastAsia="仿宋_GB2312"/>
          <w:snapToGrid w:val="0"/>
          <w:color w:val="000000"/>
          <w:kern w:val="0"/>
          <w:sz w:val="32"/>
          <w:szCs w:val="32"/>
        </w:rPr>
        <w:fldChar w:fldCharType="end"/>
      </w:r>
      <w:r>
        <w:rPr>
          <w:rFonts w:hint="eastAsia" w:ascii="仿宋_GB2312" w:eastAsia="仿宋_GB2312"/>
          <w:snapToGrid w:val="0"/>
          <w:color w:val="000000"/>
          <w:kern w:val="0"/>
          <w:sz w:val="32"/>
          <w:szCs w:val="32"/>
        </w:rPr>
        <w:t>接壤，区位优越，古有“九省通衢”之称，京沪铁路、京台高速公路和京沪高速铁路、104国道穿境而过，京杭大运河纵贯区内，水路有京杭大运河，交通便利。滕州历史悠久，文化灿烂。古为“三国五邑之地，文化昌明之邦”，今是全国百强县，连续多年位列全国百强县中前列。</w:t>
      </w:r>
    </w:p>
    <w:p>
      <w:pPr>
        <w:pStyle w:val="4"/>
        <w:keepNext w:val="0"/>
        <w:keepLines w:val="0"/>
        <w:spacing w:before="0" w:after="0" w:line="560" w:lineRule="exact"/>
        <w:ind w:firstLine="640" w:firstLineChars="200"/>
        <w:jc w:val="both"/>
        <w:rPr>
          <w:rFonts w:ascii="楷体_GB2312" w:hAnsi="仿宋" w:eastAsia="楷体_GB2312"/>
          <w:b w:val="0"/>
          <w:snapToGrid w:val="0"/>
          <w:color w:val="000000"/>
          <w:kern w:val="0"/>
          <w:sz w:val="32"/>
        </w:rPr>
      </w:pPr>
      <w:bookmarkStart w:id="2" w:name="_Toc133399295"/>
      <w:bookmarkStart w:id="3" w:name="_Toc68627367"/>
      <w:r>
        <w:rPr>
          <w:rFonts w:hint="eastAsia" w:ascii="楷体_GB2312" w:hAnsi="仿宋" w:eastAsia="楷体_GB2312"/>
          <w:b w:val="0"/>
          <w:snapToGrid w:val="0"/>
          <w:color w:val="000000"/>
          <w:kern w:val="0"/>
          <w:sz w:val="32"/>
        </w:rPr>
        <w:t>（一）经济社会发展概况</w:t>
      </w:r>
      <w:bookmarkEnd w:id="2"/>
      <w:bookmarkEnd w:id="3"/>
    </w:p>
    <w:p>
      <w:pPr>
        <w:spacing w:line="560" w:lineRule="exact"/>
        <w:ind w:firstLine="640" w:firstLineChars="200"/>
        <w:rPr>
          <w:rFonts w:ascii="仿宋_GB2312" w:eastAsia="仿宋_GB2312"/>
          <w:snapToGrid w:val="0"/>
          <w:color w:val="000000"/>
          <w:kern w:val="0"/>
          <w:sz w:val="32"/>
          <w:szCs w:val="32"/>
        </w:rPr>
      </w:pPr>
      <w:bookmarkStart w:id="4" w:name="_Toc1089"/>
      <w:bookmarkStart w:id="5" w:name="_Toc12187"/>
      <w:bookmarkStart w:id="6" w:name="_Toc27859"/>
      <w:bookmarkStart w:id="7" w:name="_Toc5431"/>
      <w:bookmarkStart w:id="8" w:name="_Toc47432967"/>
      <w:bookmarkStart w:id="9" w:name="_Toc12609"/>
      <w:bookmarkStart w:id="10" w:name="_Toc68627368"/>
      <w:bookmarkStart w:id="11" w:name="_Toc26272"/>
      <w:bookmarkStart w:id="12" w:name="_Toc10217"/>
      <w:r>
        <w:rPr>
          <w:rFonts w:ascii="仿宋_GB2312" w:eastAsia="仿宋_GB2312"/>
          <w:snapToGrid w:val="0"/>
          <w:color w:val="000000"/>
          <w:kern w:val="0"/>
          <w:sz w:val="32"/>
          <w:szCs w:val="32"/>
        </w:rPr>
        <w:t>2020</w:t>
      </w:r>
      <w:r>
        <w:rPr>
          <w:rFonts w:hint="eastAsia" w:ascii="仿宋_GB2312" w:eastAsia="仿宋_GB2312"/>
          <w:snapToGrid w:val="0"/>
          <w:color w:val="000000"/>
          <w:kern w:val="0"/>
          <w:sz w:val="32"/>
          <w:szCs w:val="32"/>
        </w:rPr>
        <w:t>年，滕州市经济总量稳步提升，实现生产总值</w:t>
      </w:r>
      <w:r>
        <w:rPr>
          <w:rFonts w:ascii="仿宋_GB2312" w:eastAsia="仿宋_GB2312"/>
          <w:snapToGrid w:val="0"/>
          <w:color w:val="000000"/>
          <w:kern w:val="0"/>
          <w:sz w:val="32"/>
          <w:szCs w:val="32"/>
        </w:rPr>
        <w:t>(GDP)753.05</w:t>
      </w:r>
      <w:r>
        <w:rPr>
          <w:rFonts w:hint="eastAsia" w:ascii="仿宋_GB2312" w:eastAsia="仿宋_GB2312"/>
          <w:snapToGrid w:val="0"/>
          <w:color w:val="000000"/>
          <w:kern w:val="0"/>
          <w:sz w:val="32"/>
          <w:szCs w:val="32"/>
        </w:rPr>
        <w:t>亿元，按可比价格计算，增长</w:t>
      </w:r>
      <w:r>
        <w:rPr>
          <w:rFonts w:ascii="仿宋_GB2312" w:eastAsia="仿宋_GB2312"/>
          <w:snapToGrid w:val="0"/>
          <w:color w:val="000000"/>
          <w:kern w:val="0"/>
          <w:sz w:val="32"/>
          <w:szCs w:val="32"/>
        </w:rPr>
        <w:t>1.0%</w:t>
      </w:r>
      <w:r>
        <w:rPr>
          <w:rFonts w:hint="eastAsia" w:ascii="仿宋_GB2312" w:eastAsia="仿宋_GB2312"/>
          <w:snapToGrid w:val="0"/>
          <w:color w:val="000000"/>
          <w:kern w:val="0"/>
          <w:sz w:val="32"/>
          <w:szCs w:val="32"/>
        </w:rPr>
        <w:t>。其中，第一产业增加值</w:t>
      </w:r>
      <w:r>
        <w:rPr>
          <w:rFonts w:ascii="仿宋_GB2312" w:eastAsia="仿宋_GB2312"/>
          <w:snapToGrid w:val="0"/>
          <w:color w:val="000000"/>
          <w:kern w:val="0"/>
          <w:sz w:val="32"/>
          <w:szCs w:val="32"/>
        </w:rPr>
        <w:t>77.96</w:t>
      </w:r>
      <w:r>
        <w:rPr>
          <w:rFonts w:hint="eastAsia" w:ascii="仿宋_GB2312" w:eastAsia="仿宋_GB2312"/>
          <w:snapToGrid w:val="0"/>
          <w:color w:val="000000"/>
          <w:kern w:val="0"/>
          <w:sz w:val="32"/>
          <w:szCs w:val="32"/>
        </w:rPr>
        <w:t>亿元，增长</w:t>
      </w:r>
      <w:r>
        <w:rPr>
          <w:rFonts w:ascii="仿宋_GB2312" w:eastAsia="仿宋_GB2312"/>
          <w:snapToGrid w:val="0"/>
          <w:color w:val="000000"/>
          <w:kern w:val="0"/>
          <w:sz w:val="32"/>
          <w:szCs w:val="32"/>
        </w:rPr>
        <w:t>2.1%</w:t>
      </w:r>
      <w:r>
        <w:rPr>
          <w:rFonts w:hint="eastAsia" w:ascii="仿宋_GB2312" w:eastAsia="仿宋_GB2312"/>
          <w:snapToGrid w:val="0"/>
          <w:color w:val="000000"/>
          <w:kern w:val="0"/>
          <w:sz w:val="32"/>
          <w:szCs w:val="32"/>
        </w:rPr>
        <w:t>；第二产业增加值</w:t>
      </w:r>
      <w:r>
        <w:rPr>
          <w:rFonts w:ascii="仿宋_GB2312" w:eastAsia="仿宋_GB2312"/>
          <w:snapToGrid w:val="0"/>
          <w:color w:val="000000"/>
          <w:kern w:val="0"/>
          <w:sz w:val="32"/>
          <w:szCs w:val="32"/>
        </w:rPr>
        <w:t>339.16</w:t>
      </w:r>
      <w:r>
        <w:rPr>
          <w:rFonts w:hint="eastAsia" w:ascii="仿宋_GB2312" w:eastAsia="仿宋_GB2312"/>
          <w:snapToGrid w:val="0"/>
          <w:color w:val="000000"/>
          <w:kern w:val="0"/>
          <w:sz w:val="32"/>
          <w:szCs w:val="32"/>
        </w:rPr>
        <w:t>亿元，下降</w:t>
      </w:r>
      <w:r>
        <w:rPr>
          <w:rFonts w:ascii="仿宋_GB2312" w:eastAsia="仿宋_GB2312"/>
          <w:snapToGrid w:val="0"/>
          <w:color w:val="000000"/>
          <w:kern w:val="0"/>
          <w:sz w:val="32"/>
          <w:szCs w:val="32"/>
        </w:rPr>
        <w:t>4.4%</w:t>
      </w:r>
      <w:r>
        <w:rPr>
          <w:rFonts w:hint="eastAsia" w:ascii="仿宋_GB2312" w:eastAsia="仿宋_GB2312"/>
          <w:snapToGrid w:val="0"/>
          <w:color w:val="000000"/>
          <w:kern w:val="0"/>
          <w:sz w:val="32"/>
          <w:szCs w:val="32"/>
        </w:rPr>
        <w:t>；第三产业增加值</w:t>
      </w:r>
      <w:r>
        <w:rPr>
          <w:rFonts w:ascii="仿宋_GB2312" w:eastAsia="仿宋_GB2312"/>
          <w:snapToGrid w:val="0"/>
          <w:color w:val="000000"/>
          <w:kern w:val="0"/>
          <w:sz w:val="32"/>
          <w:szCs w:val="32"/>
        </w:rPr>
        <w:t>335.93</w:t>
      </w:r>
      <w:r>
        <w:rPr>
          <w:rFonts w:hint="eastAsia" w:ascii="仿宋_GB2312" w:eastAsia="仿宋_GB2312"/>
          <w:snapToGrid w:val="0"/>
          <w:color w:val="000000"/>
          <w:kern w:val="0"/>
          <w:sz w:val="32"/>
          <w:szCs w:val="32"/>
        </w:rPr>
        <w:t>亿元，增长</w:t>
      </w:r>
      <w:r>
        <w:rPr>
          <w:rFonts w:ascii="仿宋_GB2312" w:eastAsia="仿宋_GB2312"/>
          <w:snapToGrid w:val="0"/>
          <w:color w:val="000000"/>
          <w:kern w:val="0"/>
          <w:sz w:val="32"/>
          <w:szCs w:val="32"/>
        </w:rPr>
        <w:t>7.1%</w:t>
      </w:r>
      <w:r>
        <w:rPr>
          <w:rFonts w:hint="eastAsia" w:ascii="仿宋_GB2312" w:eastAsia="仿宋_GB2312"/>
          <w:snapToGrid w:val="0"/>
          <w:color w:val="000000"/>
          <w:kern w:val="0"/>
          <w:sz w:val="32"/>
          <w:szCs w:val="32"/>
        </w:rPr>
        <w:t>。三次产业结构为</w:t>
      </w:r>
      <w:r>
        <w:rPr>
          <w:rFonts w:ascii="仿宋_GB2312" w:eastAsia="仿宋_GB2312"/>
          <w:snapToGrid w:val="0"/>
          <w:color w:val="000000"/>
          <w:kern w:val="0"/>
          <w:sz w:val="32"/>
          <w:szCs w:val="32"/>
        </w:rPr>
        <w:t>10.4:45.0:44.6</w:t>
      </w:r>
      <w:r>
        <w:rPr>
          <w:rFonts w:hint="eastAsia" w:ascii="仿宋_GB2312" w:eastAsia="仿宋_GB2312"/>
          <w:snapToGrid w:val="0"/>
          <w:color w:val="000000"/>
          <w:kern w:val="0"/>
          <w:sz w:val="32"/>
          <w:szCs w:val="32"/>
        </w:rPr>
        <w:t>，分别拉动</w:t>
      </w:r>
      <w:r>
        <w:rPr>
          <w:rFonts w:ascii="仿宋_GB2312" w:eastAsia="仿宋_GB2312"/>
          <w:snapToGrid w:val="0"/>
          <w:color w:val="000000"/>
          <w:kern w:val="0"/>
          <w:sz w:val="32"/>
          <w:szCs w:val="32"/>
        </w:rPr>
        <w:t>GDP</w:t>
      </w:r>
      <w:r>
        <w:rPr>
          <w:rFonts w:hint="eastAsia" w:ascii="仿宋_GB2312" w:eastAsia="仿宋_GB2312"/>
          <w:snapToGrid w:val="0"/>
          <w:color w:val="000000"/>
          <w:kern w:val="0"/>
          <w:sz w:val="32"/>
          <w:szCs w:val="32"/>
        </w:rPr>
        <w:t>增长</w:t>
      </w:r>
      <w:r>
        <w:rPr>
          <w:rFonts w:ascii="仿宋_GB2312" w:eastAsia="仿宋_GB2312"/>
          <w:snapToGrid w:val="0"/>
          <w:color w:val="000000"/>
          <w:kern w:val="0"/>
          <w:sz w:val="32"/>
          <w:szCs w:val="32"/>
        </w:rPr>
        <w:t>0.2</w:t>
      </w:r>
      <w:r>
        <w:rPr>
          <w:rFonts w:hint="eastAsia" w:ascii="仿宋_GB2312" w:eastAsia="仿宋_GB2312"/>
          <w:snapToGrid w:val="0"/>
          <w:color w:val="000000"/>
          <w:kern w:val="0"/>
          <w:sz w:val="32"/>
          <w:szCs w:val="32"/>
        </w:rPr>
        <w:t>、—</w:t>
      </w:r>
      <w:r>
        <w:rPr>
          <w:rFonts w:ascii="仿宋_GB2312" w:eastAsia="仿宋_GB2312"/>
          <w:snapToGrid w:val="0"/>
          <w:color w:val="000000"/>
          <w:kern w:val="0"/>
          <w:sz w:val="32"/>
          <w:szCs w:val="32"/>
        </w:rPr>
        <w:t>2.1</w:t>
      </w:r>
      <w:r>
        <w:rPr>
          <w:rFonts w:hint="eastAsia" w:ascii="仿宋_GB2312" w:eastAsia="仿宋_GB2312"/>
          <w:snapToGrid w:val="0"/>
          <w:color w:val="000000"/>
          <w:kern w:val="0"/>
          <w:sz w:val="32"/>
          <w:szCs w:val="32"/>
        </w:rPr>
        <w:t>、</w:t>
      </w:r>
      <w:r>
        <w:rPr>
          <w:rFonts w:ascii="仿宋_GB2312" w:eastAsia="仿宋_GB2312"/>
          <w:snapToGrid w:val="0"/>
          <w:color w:val="000000"/>
          <w:kern w:val="0"/>
          <w:sz w:val="32"/>
          <w:szCs w:val="32"/>
        </w:rPr>
        <w:t>2.9</w:t>
      </w:r>
      <w:r>
        <w:rPr>
          <w:rFonts w:hint="eastAsia" w:ascii="仿宋_GB2312" w:eastAsia="仿宋_GB2312"/>
          <w:snapToGrid w:val="0"/>
          <w:color w:val="000000"/>
          <w:kern w:val="0"/>
          <w:sz w:val="32"/>
          <w:szCs w:val="32"/>
        </w:rPr>
        <w:t>个百分点。全市生产总值增长</w:t>
      </w:r>
      <w:r>
        <w:rPr>
          <w:rFonts w:ascii="仿宋_GB2312" w:eastAsia="仿宋_GB2312"/>
          <w:snapToGrid w:val="0"/>
          <w:color w:val="000000"/>
          <w:kern w:val="0"/>
          <w:sz w:val="32"/>
          <w:szCs w:val="32"/>
        </w:rPr>
        <w:t>5.5%</w:t>
      </w:r>
      <w:r>
        <w:rPr>
          <w:rFonts w:hint="eastAsia" w:ascii="仿宋_GB2312" w:eastAsia="仿宋_GB2312"/>
          <w:snapToGrid w:val="0"/>
          <w:color w:val="000000"/>
          <w:kern w:val="0"/>
          <w:sz w:val="32"/>
          <w:szCs w:val="32"/>
        </w:rPr>
        <w:t>，城镇居民、农村居民人均可支配收入分别达到</w:t>
      </w:r>
      <w:r>
        <w:rPr>
          <w:rFonts w:ascii="仿宋_GB2312" w:eastAsia="仿宋_GB2312"/>
          <w:snapToGrid w:val="0"/>
          <w:color w:val="000000"/>
          <w:kern w:val="0"/>
          <w:sz w:val="32"/>
          <w:szCs w:val="32"/>
        </w:rPr>
        <w:t>37615</w:t>
      </w:r>
      <w:r>
        <w:rPr>
          <w:rFonts w:hint="eastAsia" w:ascii="仿宋_GB2312" w:eastAsia="仿宋_GB2312"/>
          <w:snapToGrid w:val="0"/>
          <w:color w:val="000000"/>
          <w:kern w:val="0"/>
          <w:sz w:val="32"/>
          <w:szCs w:val="32"/>
        </w:rPr>
        <w:t>元、</w:t>
      </w:r>
      <w:r>
        <w:rPr>
          <w:rFonts w:ascii="仿宋_GB2312" w:eastAsia="仿宋_GB2312"/>
          <w:snapToGrid w:val="0"/>
          <w:color w:val="000000"/>
          <w:kern w:val="0"/>
          <w:sz w:val="32"/>
          <w:szCs w:val="32"/>
        </w:rPr>
        <w:t>17740</w:t>
      </w:r>
      <w:r>
        <w:rPr>
          <w:rFonts w:hint="eastAsia" w:ascii="仿宋_GB2312" w:eastAsia="仿宋_GB2312"/>
          <w:snapToGrid w:val="0"/>
          <w:color w:val="000000"/>
          <w:kern w:val="0"/>
          <w:sz w:val="32"/>
          <w:szCs w:val="32"/>
        </w:rPr>
        <w:t>元，增长</w:t>
      </w:r>
      <w:r>
        <w:rPr>
          <w:rFonts w:ascii="仿宋_GB2312" w:eastAsia="仿宋_GB2312"/>
          <w:snapToGrid w:val="0"/>
          <w:color w:val="000000"/>
          <w:kern w:val="0"/>
          <w:sz w:val="32"/>
          <w:szCs w:val="32"/>
        </w:rPr>
        <w:t>6.5%</w:t>
      </w:r>
      <w:r>
        <w:rPr>
          <w:rFonts w:hint="eastAsia" w:ascii="仿宋_GB2312" w:eastAsia="仿宋_GB2312"/>
          <w:snapToGrid w:val="0"/>
          <w:color w:val="000000"/>
          <w:kern w:val="0"/>
          <w:sz w:val="32"/>
          <w:szCs w:val="32"/>
        </w:rPr>
        <w:t>、</w:t>
      </w:r>
      <w:r>
        <w:rPr>
          <w:rFonts w:ascii="仿宋_GB2312" w:eastAsia="仿宋_GB2312"/>
          <w:snapToGrid w:val="0"/>
          <w:color w:val="000000"/>
          <w:kern w:val="0"/>
          <w:sz w:val="32"/>
          <w:szCs w:val="32"/>
        </w:rPr>
        <w:t>7.9%</w:t>
      </w:r>
      <w:r>
        <w:rPr>
          <w:rFonts w:hint="eastAsia" w:ascii="仿宋_GB2312" w:eastAsia="仿宋_GB2312"/>
          <w:snapToGrid w:val="0"/>
          <w:color w:val="000000"/>
          <w:kern w:val="0"/>
          <w:sz w:val="32"/>
          <w:szCs w:val="32"/>
        </w:rPr>
        <w:t>。滕州市矿山企业</w:t>
      </w:r>
      <w:r>
        <w:rPr>
          <w:rFonts w:ascii="仿宋_GB2312" w:eastAsia="仿宋_GB2312"/>
          <w:snapToGrid w:val="0"/>
          <w:color w:val="000000"/>
          <w:kern w:val="0"/>
          <w:sz w:val="32"/>
          <w:szCs w:val="32"/>
        </w:rPr>
        <w:t>2020</w:t>
      </w:r>
      <w:r>
        <w:rPr>
          <w:rFonts w:hint="eastAsia" w:ascii="仿宋_GB2312" w:eastAsia="仿宋_GB2312"/>
          <w:snapToGrid w:val="0"/>
          <w:color w:val="000000"/>
          <w:kern w:val="0"/>
          <w:sz w:val="32"/>
          <w:szCs w:val="32"/>
        </w:rPr>
        <w:t>年矿业总产值为</w:t>
      </w:r>
      <w:r>
        <w:rPr>
          <w:rFonts w:ascii="仿宋_GB2312" w:eastAsia="仿宋_GB2312"/>
          <w:snapToGrid w:val="0"/>
          <w:color w:val="000000"/>
          <w:kern w:val="0"/>
          <w:sz w:val="32"/>
          <w:szCs w:val="32"/>
        </w:rPr>
        <w:t>753,412.74</w:t>
      </w:r>
      <w:r>
        <w:rPr>
          <w:rFonts w:hint="eastAsia" w:ascii="仿宋_GB2312" w:eastAsia="仿宋_GB2312"/>
          <w:snapToGrid w:val="0"/>
          <w:color w:val="000000"/>
          <w:kern w:val="0"/>
          <w:sz w:val="32"/>
          <w:szCs w:val="32"/>
        </w:rPr>
        <w:t>万元，矿业从业人数</w:t>
      </w:r>
      <w:r>
        <w:rPr>
          <w:rFonts w:ascii="仿宋_GB2312" w:eastAsia="仿宋_GB2312"/>
          <w:snapToGrid w:val="0"/>
          <w:color w:val="000000"/>
          <w:kern w:val="0"/>
          <w:sz w:val="32"/>
          <w:szCs w:val="32"/>
        </w:rPr>
        <w:t>23236</w:t>
      </w:r>
      <w:r>
        <w:rPr>
          <w:rFonts w:hint="eastAsia" w:ascii="仿宋_GB2312" w:eastAsia="仿宋_GB2312"/>
          <w:snapToGrid w:val="0"/>
          <w:color w:val="000000"/>
          <w:kern w:val="0"/>
          <w:sz w:val="32"/>
          <w:szCs w:val="32"/>
        </w:rPr>
        <w:t>人。</w:t>
      </w:r>
    </w:p>
    <w:p>
      <w:pPr>
        <w:pStyle w:val="4"/>
        <w:keepNext w:val="0"/>
        <w:keepLines w:val="0"/>
        <w:spacing w:before="0" w:after="0" w:line="560" w:lineRule="exact"/>
        <w:ind w:firstLine="640" w:firstLineChars="200"/>
        <w:jc w:val="both"/>
        <w:rPr>
          <w:rFonts w:ascii="楷体_GB2312" w:hAnsi="仿宋" w:eastAsia="楷体_GB2312"/>
          <w:b w:val="0"/>
          <w:snapToGrid w:val="0"/>
          <w:color w:val="000000"/>
          <w:kern w:val="0"/>
          <w:sz w:val="32"/>
        </w:rPr>
      </w:pPr>
      <w:bookmarkStart w:id="13" w:name="_Toc133399296"/>
      <w:r>
        <w:rPr>
          <w:rFonts w:hint="eastAsia" w:ascii="楷体_GB2312" w:hAnsi="仿宋" w:eastAsia="楷体_GB2312"/>
          <w:b w:val="0"/>
          <w:snapToGrid w:val="0"/>
          <w:color w:val="000000"/>
          <w:kern w:val="0"/>
          <w:sz w:val="32"/>
        </w:rPr>
        <w:t>（二）矿产资源现状</w:t>
      </w:r>
      <w:bookmarkEnd w:id="4"/>
      <w:bookmarkEnd w:id="5"/>
      <w:bookmarkEnd w:id="6"/>
      <w:bookmarkEnd w:id="7"/>
      <w:bookmarkEnd w:id="8"/>
      <w:bookmarkEnd w:id="9"/>
      <w:bookmarkEnd w:id="10"/>
      <w:bookmarkEnd w:id="11"/>
      <w:bookmarkEnd w:id="12"/>
      <w:bookmarkEnd w:id="13"/>
    </w:p>
    <w:p>
      <w:pPr>
        <w:spacing w:line="560" w:lineRule="exact"/>
        <w:ind w:firstLine="642" w:firstLineChars="200"/>
        <w:rPr>
          <w:rFonts w:ascii="仿宋_GB2312" w:eastAsia="仿宋_GB2312"/>
          <w:snapToGrid w:val="0"/>
          <w:color w:val="000000"/>
          <w:kern w:val="0"/>
          <w:sz w:val="32"/>
          <w:szCs w:val="32"/>
        </w:rPr>
      </w:pPr>
      <w:r>
        <w:rPr>
          <w:rFonts w:ascii="仿宋_GB2312" w:hAnsi="仿宋" w:eastAsia="仿宋_GB2312"/>
          <w:b/>
          <w:snapToGrid w:val="0"/>
          <w:color w:val="000000"/>
          <w:kern w:val="0"/>
          <w:sz w:val="32"/>
          <w:szCs w:val="32"/>
        </w:rPr>
        <w:t>1.</w:t>
      </w:r>
      <w:r>
        <w:rPr>
          <w:rFonts w:hint="eastAsia" w:ascii="仿宋_GB2312" w:hAnsi="仿宋" w:eastAsia="仿宋_GB2312"/>
          <w:b/>
          <w:snapToGrid w:val="0"/>
          <w:color w:val="000000"/>
          <w:kern w:val="0"/>
          <w:sz w:val="32"/>
          <w:szCs w:val="32"/>
        </w:rPr>
        <w:t>矿产资源概况。</w:t>
      </w:r>
      <w:r>
        <w:rPr>
          <w:rFonts w:hint="eastAsia" w:ascii="仿宋_GB2312" w:eastAsia="仿宋_GB2312"/>
          <w:snapToGrid w:val="0"/>
          <w:color w:val="000000"/>
          <w:kern w:val="0"/>
          <w:sz w:val="32"/>
          <w:szCs w:val="32"/>
        </w:rPr>
        <w:t>截至</w:t>
      </w:r>
      <w:r>
        <w:rPr>
          <w:rFonts w:ascii="仿宋_GB2312" w:eastAsia="仿宋_GB2312"/>
          <w:snapToGrid w:val="0"/>
          <w:color w:val="000000"/>
          <w:kern w:val="0"/>
          <w:sz w:val="32"/>
          <w:szCs w:val="32"/>
        </w:rPr>
        <w:t>2020</w:t>
      </w:r>
      <w:r>
        <w:rPr>
          <w:rFonts w:hint="eastAsia" w:ascii="仿宋_GB2312" w:eastAsia="仿宋_GB2312"/>
          <w:snapToGrid w:val="0"/>
          <w:color w:val="000000"/>
          <w:kern w:val="0"/>
          <w:sz w:val="32"/>
          <w:szCs w:val="32"/>
        </w:rPr>
        <w:t>年已发现矿产</w:t>
      </w:r>
      <w:r>
        <w:rPr>
          <w:rFonts w:ascii="仿宋_GB2312" w:eastAsia="仿宋_GB2312"/>
          <w:snapToGrid w:val="0"/>
          <w:color w:val="000000"/>
          <w:kern w:val="0"/>
          <w:sz w:val="32"/>
          <w:szCs w:val="32"/>
        </w:rPr>
        <w:t>30</w:t>
      </w:r>
      <w:r>
        <w:rPr>
          <w:rFonts w:hint="eastAsia" w:ascii="仿宋_GB2312" w:eastAsia="仿宋_GB2312"/>
          <w:snapToGrid w:val="0"/>
          <w:color w:val="000000"/>
          <w:kern w:val="0"/>
          <w:sz w:val="32"/>
          <w:szCs w:val="32"/>
        </w:rPr>
        <w:t>余种，矿产地</w:t>
      </w:r>
      <w:r>
        <w:rPr>
          <w:rFonts w:ascii="仿宋_GB2312" w:eastAsia="仿宋_GB2312"/>
          <w:snapToGrid w:val="0"/>
          <w:color w:val="000000"/>
          <w:kern w:val="0"/>
          <w:sz w:val="32"/>
          <w:szCs w:val="32"/>
        </w:rPr>
        <w:t>70</w:t>
      </w:r>
      <w:r>
        <w:rPr>
          <w:rFonts w:hint="eastAsia" w:ascii="仿宋_GB2312" w:eastAsia="仿宋_GB2312"/>
          <w:snapToGrid w:val="0"/>
          <w:color w:val="000000"/>
          <w:kern w:val="0"/>
          <w:sz w:val="32"/>
          <w:szCs w:val="32"/>
        </w:rPr>
        <w:t>余处，查明资源储量的矿产有煤炭、水泥用灰岩、建筑石料用灰岩和冶金用白云岩4种，为滕州市优势矿产。区域成矿条件构塑了滕州矿产资源的鲜明特征—煤分布于西部平原区，赋存于石炭—二叠系煤系地层。石灰岩分布于东部低山丘陵区，赋存于寒武—奥陶系地层中。</w:t>
      </w:r>
    </w:p>
    <w:p>
      <w:pPr>
        <w:spacing w:line="560" w:lineRule="exact"/>
        <w:ind w:firstLine="642" w:firstLineChars="200"/>
        <w:rPr>
          <w:rFonts w:ascii="仿宋_GB2312" w:eastAsia="仿宋_GB2312"/>
          <w:snapToGrid w:val="0"/>
          <w:color w:val="000000"/>
          <w:kern w:val="0"/>
          <w:sz w:val="32"/>
          <w:szCs w:val="32"/>
        </w:rPr>
      </w:pPr>
      <w:r>
        <w:rPr>
          <w:rFonts w:ascii="仿宋_GB2312" w:hAnsi="仿宋" w:eastAsia="仿宋_GB2312"/>
          <w:b/>
          <w:snapToGrid w:val="0"/>
          <w:color w:val="000000"/>
          <w:kern w:val="0"/>
          <w:sz w:val="32"/>
          <w:szCs w:val="32"/>
        </w:rPr>
        <w:t>2.</w:t>
      </w:r>
      <w:r>
        <w:rPr>
          <w:rFonts w:hint="eastAsia" w:ascii="仿宋_GB2312" w:hAnsi="仿宋" w:eastAsia="仿宋_GB2312"/>
          <w:b/>
          <w:snapToGrid w:val="0"/>
          <w:color w:val="000000"/>
          <w:kern w:val="0"/>
          <w:sz w:val="32"/>
          <w:szCs w:val="32"/>
        </w:rPr>
        <w:t>基础地质调查与矿产资源勘查现状。</w:t>
      </w:r>
      <w:r>
        <w:rPr>
          <w:rFonts w:hint="eastAsia" w:ascii="仿宋_GB2312" w:eastAsia="仿宋_GB2312"/>
          <w:snapToGrid w:val="0"/>
          <w:color w:val="000000"/>
          <w:kern w:val="0"/>
          <w:sz w:val="32"/>
          <w:szCs w:val="32"/>
        </w:rPr>
        <w:t>截至</w:t>
      </w:r>
      <w:r>
        <w:rPr>
          <w:rFonts w:ascii="仿宋_GB2312" w:eastAsia="仿宋_GB2312"/>
          <w:snapToGrid w:val="0"/>
          <w:color w:val="000000"/>
          <w:kern w:val="0"/>
          <w:sz w:val="32"/>
          <w:szCs w:val="32"/>
        </w:rPr>
        <w:t>2020</w:t>
      </w:r>
      <w:r>
        <w:rPr>
          <w:rFonts w:hint="eastAsia" w:ascii="仿宋_GB2312" w:eastAsia="仿宋_GB2312"/>
          <w:snapToGrid w:val="0"/>
          <w:color w:val="000000"/>
          <w:kern w:val="0"/>
          <w:sz w:val="32"/>
          <w:szCs w:val="32"/>
        </w:rPr>
        <w:t>年底，已完成</w:t>
      </w:r>
      <w:r>
        <w:rPr>
          <w:rFonts w:ascii="仿宋_GB2312" w:eastAsia="仿宋_GB2312"/>
          <w:snapToGrid w:val="0"/>
          <w:color w:val="000000"/>
          <w:kern w:val="0"/>
          <w:sz w:val="32"/>
          <w:szCs w:val="32"/>
        </w:rPr>
        <w:t>1</w:t>
      </w:r>
      <w:r>
        <w:rPr>
          <w:rFonts w:hint="eastAsia" w:ascii="仿宋_GB2312" w:eastAsia="仿宋_GB2312"/>
          <w:snapToGrid w:val="0"/>
          <w:color w:val="000000"/>
          <w:kern w:val="0"/>
          <w:sz w:val="32"/>
          <w:szCs w:val="32"/>
        </w:rPr>
        <w:t>：</w:t>
      </w:r>
      <w:r>
        <w:rPr>
          <w:rFonts w:ascii="仿宋_GB2312" w:eastAsia="仿宋_GB2312"/>
          <w:snapToGrid w:val="0"/>
          <w:color w:val="000000"/>
          <w:kern w:val="0"/>
          <w:sz w:val="32"/>
          <w:szCs w:val="32"/>
        </w:rPr>
        <w:t>20</w:t>
      </w:r>
      <w:r>
        <w:rPr>
          <w:rFonts w:hint="eastAsia" w:ascii="仿宋_GB2312" w:eastAsia="仿宋_GB2312"/>
          <w:snapToGrid w:val="0"/>
          <w:color w:val="000000"/>
          <w:kern w:val="0"/>
          <w:sz w:val="32"/>
          <w:szCs w:val="32"/>
        </w:rPr>
        <w:t>万区域地质测量，</w:t>
      </w:r>
      <w:r>
        <w:rPr>
          <w:rFonts w:ascii="仿宋_GB2312" w:eastAsia="仿宋_GB2312"/>
          <w:snapToGrid w:val="0"/>
          <w:color w:val="000000"/>
          <w:kern w:val="0"/>
          <w:sz w:val="32"/>
          <w:szCs w:val="32"/>
        </w:rPr>
        <w:t>1</w:t>
      </w:r>
      <w:r>
        <w:rPr>
          <w:rFonts w:hint="eastAsia" w:ascii="仿宋_GB2312" w:eastAsia="仿宋_GB2312"/>
          <w:snapToGrid w:val="0"/>
          <w:color w:val="000000"/>
          <w:kern w:val="0"/>
          <w:sz w:val="32"/>
          <w:szCs w:val="32"/>
        </w:rPr>
        <w:t>：</w:t>
      </w:r>
      <w:r>
        <w:rPr>
          <w:rFonts w:ascii="仿宋_GB2312" w:eastAsia="仿宋_GB2312"/>
          <w:snapToGrid w:val="0"/>
          <w:color w:val="000000"/>
          <w:kern w:val="0"/>
          <w:sz w:val="32"/>
          <w:szCs w:val="32"/>
        </w:rPr>
        <w:t>20</w:t>
      </w:r>
      <w:r>
        <w:rPr>
          <w:rFonts w:hint="eastAsia" w:ascii="仿宋_GB2312" w:eastAsia="仿宋_GB2312"/>
          <w:snapToGrid w:val="0"/>
          <w:color w:val="000000"/>
          <w:kern w:val="0"/>
          <w:sz w:val="32"/>
          <w:szCs w:val="32"/>
        </w:rPr>
        <w:t>万环境地质调查，</w:t>
      </w:r>
      <w:r>
        <w:rPr>
          <w:rFonts w:ascii="仿宋_GB2312" w:eastAsia="仿宋_GB2312"/>
          <w:snapToGrid w:val="0"/>
          <w:color w:val="000000"/>
          <w:kern w:val="0"/>
          <w:sz w:val="32"/>
          <w:szCs w:val="32"/>
        </w:rPr>
        <w:t>1</w:t>
      </w:r>
      <w:r>
        <w:rPr>
          <w:rFonts w:hint="eastAsia" w:ascii="仿宋_GB2312" w:eastAsia="仿宋_GB2312"/>
          <w:snapToGrid w:val="0"/>
          <w:color w:val="000000"/>
          <w:kern w:val="0"/>
          <w:sz w:val="32"/>
          <w:szCs w:val="32"/>
        </w:rPr>
        <w:t>∶</w:t>
      </w:r>
      <w:r>
        <w:rPr>
          <w:rFonts w:ascii="仿宋_GB2312" w:eastAsia="仿宋_GB2312"/>
          <w:snapToGrid w:val="0"/>
          <w:color w:val="000000"/>
          <w:kern w:val="0"/>
          <w:sz w:val="32"/>
          <w:szCs w:val="32"/>
        </w:rPr>
        <w:t>20</w:t>
      </w:r>
      <w:r>
        <w:rPr>
          <w:rFonts w:hint="eastAsia" w:ascii="仿宋_GB2312" w:eastAsia="仿宋_GB2312"/>
          <w:snapToGrid w:val="0"/>
          <w:color w:val="000000"/>
          <w:kern w:val="0"/>
          <w:sz w:val="32"/>
          <w:szCs w:val="32"/>
        </w:rPr>
        <w:t>万区域地质调查，</w:t>
      </w:r>
      <w:r>
        <w:rPr>
          <w:rFonts w:ascii="仿宋_GB2312" w:eastAsia="仿宋_GB2312"/>
          <w:snapToGrid w:val="0"/>
          <w:color w:val="000000"/>
          <w:kern w:val="0"/>
          <w:sz w:val="32"/>
          <w:szCs w:val="32"/>
        </w:rPr>
        <w:t>1</w:t>
      </w:r>
      <w:r>
        <w:rPr>
          <w:rFonts w:hint="eastAsia" w:ascii="仿宋_GB2312" w:eastAsia="仿宋_GB2312"/>
          <w:snapToGrid w:val="0"/>
          <w:color w:val="000000"/>
          <w:kern w:val="0"/>
          <w:sz w:val="32"/>
          <w:szCs w:val="32"/>
        </w:rPr>
        <w:t>∶</w:t>
      </w:r>
      <w:r>
        <w:rPr>
          <w:rFonts w:ascii="仿宋_GB2312" w:eastAsia="仿宋_GB2312"/>
          <w:snapToGrid w:val="0"/>
          <w:color w:val="000000"/>
          <w:kern w:val="0"/>
          <w:sz w:val="32"/>
          <w:szCs w:val="32"/>
        </w:rPr>
        <w:t>50</w:t>
      </w:r>
      <w:r>
        <w:rPr>
          <w:rFonts w:hint="eastAsia" w:ascii="仿宋_GB2312" w:eastAsia="仿宋_GB2312"/>
          <w:snapToGrid w:val="0"/>
          <w:color w:val="000000"/>
          <w:kern w:val="0"/>
          <w:sz w:val="32"/>
          <w:szCs w:val="32"/>
        </w:rPr>
        <w:t>万工程地质调查，</w:t>
      </w:r>
      <w:r>
        <w:rPr>
          <w:rFonts w:ascii="仿宋_GB2312" w:eastAsia="仿宋_GB2312"/>
          <w:snapToGrid w:val="0"/>
          <w:color w:val="000000"/>
          <w:kern w:val="0"/>
          <w:sz w:val="32"/>
          <w:szCs w:val="32"/>
        </w:rPr>
        <w:t>1</w:t>
      </w:r>
      <w:r>
        <w:rPr>
          <w:rFonts w:hint="eastAsia" w:ascii="仿宋_GB2312" w:eastAsia="仿宋_GB2312"/>
          <w:snapToGrid w:val="0"/>
          <w:color w:val="000000"/>
          <w:kern w:val="0"/>
          <w:sz w:val="32"/>
          <w:szCs w:val="32"/>
        </w:rPr>
        <w:t>∶</w:t>
      </w:r>
      <w:r>
        <w:rPr>
          <w:rFonts w:ascii="仿宋_GB2312" w:eastAsia="仿宋_GB2312"/>
          <w:snapToGrid w:val="0"/>
          <w:color w:val="000000"/>
          <w:kern w:val="0"/>
          <w:sz w:val="32"/>
          <w:szCs w:val="32"/>
        </w:rPr>
        <w:t>5</w:t>
      </w:r>
      <w:r>
        <w:rPr>
          <w:rFonts w:hint="eastAsia" w:ascii="仿宋_GB2312" w:eastAsia="仿宋_GB2312"/>
          <w:snapToGrid w:val="0"/>
          <w:color w:val="000000"/>
          <w:kern w:val="0"/>
          <w:sz w:val="32"/>
          <w:szCs w:val="32"/>
        </w:rPr>
        <w:t>万—</w:t>
      </w:r>
      <w:r>
        <w:rPr>
          <w:rFonts w:ascii="仿宋_GB2312" w:eastAsia="仿宋_GB2312"/>
          <w:snapToGrid w:val="0"/>
          <w:color w:val="000000"/>
          <w:kern w:val="0"/>
          <w:sz w:val="32"/>
          <w:szCs w:val="32"/>
        </w:rPr>
        <w:t>1</w:t>
      </w:r>
      <w:r>
        <w:rPr>
          <w:rFonts w:hint="eastAsia" w:ascii="仿宋_GB2312" w:eastAsia="仿宋_GB2312"/>
          <w:snapToGrid w:val="0"/>
          <w:color w:val="000000"/>
          <w:kern w:val="0"/>
          <w:sz w:val="32"/>
          <w:szCs w:val="32"/>
        </w:rPr>
        <w:t>∶</w:t>
      </w:r>
      <w:r>
        <w:rPr>
          <w:rFonts w:ascii="仿宋_GB2312" w:eastAsia="仿宋_GB2312"/>
          <w:snapToGrid w:val="0"/>
          <w:color w:val="000000"/>
          <w:kern w:val="0"/>
          <w:sz w:val="32"/>
          <w:szCs w:val="32"/>
        </w:rPr>
        <w:t>100</w:t>
      </w:r>
      <w:r>
        <w:rPr>
          <w:rFonts w:hint="eastAsia" w:ascii="仿宋_GB2312" w:eastAsia="仿宋_GB2312"/>
          <w:snapToGrid w:val="0"/>
          <w:color w:val="000000"/>
          <w:kern w:val="0"/>
          <w:sz w:val="32"/>
          <w:szCs w:val="32"/>
        </w:rPr>
        <w:t>万区域航磁测量，</w:t>
      </w:r>
      <w:r>
        <w:rPr>
          <w:rFonts w:ascii="仿宋_GB2312" w:eastAsia="仿宋_GB2312"/>
          <w:snapToGrid w:val="0"/>
          <w:color w:val="000000"/>
          <w:kern w:val="0"/>
          <w:sz w:val="32"/>
          <w:szCs w:val="32"/>
        </w:rPr>
        <w:t>1</w:t>
      </w:r>
      <w:r>
        <w:rPr>
          <w:rFonts w:hint="eastAsia" w:ascii="仿宋_GB2312" w:eastAsia="仿宋_GB2312"/>
          <w:snapToGrid w:val="0"/>
          <w:color w:val="000000"/>
          <w:kern w:val="0"/>
          <w:sz w:val="32"/>
          <w:szCs w:val="32"/>
        </w:rPr>
        <w:t>∶</w:t>
      </w:r>
      <w:r>
        <w:rPr>
          <w:rFonts w:ascii="仿宋_GB2312" w:eastAsia="仿宋_GB2312"/>
          <w:snapToGrid w:val="0"/>
          <w:color w:val="000000"/>
          <w:kern w:val="0"/>
          <w:sz w:val="32"/>
          <w:szCs w:val="32"/>
        </w:rPr>
        <w:t>2.5</w:t>
      </w:r>
      <w:r>
        <w:rPr>
          <w:rFonts w:hint="eastAsia" w:ascii="仿宋_GB2312" w:eastAsia="仿宋_GB2312"/>
          <w:snapToGrid w:val="0"/>
          <w:color w:val="000000"/>
          <w:kern w:val="0"/>
          <w:sz w:val="32"/>
          <w:szCs w:val="32"/>
        </w:rPr>
        <w:t>万—</w:t>
      </w:r>
      <w:r>
        <w:rPr>
          <w:rFonts w:ascii="仿宋_GB2312" w:eastAsia="仿宋_GB2312"/>
          <w:snapToGrid w:val="0"/>
          <w:color w:val="000000"/>
          <w:kern w:val="0"/>
          <w:sz w:val="32"/>
          <w:szCs w:val="32"/>
        </w:rPr>
        <w:t>1</w:t>
      </w:r>
      <w:r>
        <w:rPr>
          <w:rFonts w:hint="eastAsia" w:ascii="仿宋_GB2312" w:eastAsia="仿宋_GB2312"/>
          <w:snapToGrid w:val="0"/>
          <w:color w:val="000000"/>
          <w:kern w:val="0"/>
          <w:sz w:val="32"/>
          <w:szCs w:val="32"/>
        </w:rPr>
        <w:t>∶</w:t>
      </w:r>
      <w:r>
        <w:rPr>
          <w:rFonts w:ascii="仿宋_GB2312" w:eastAsia="仿宋_GB2312"/>
          <w:snapToGrid w:val="0"/>
          <w:color w:val="000000"/>
          <w:kern w:val="0"/>
          <w:sz w:val="32"/>
          <w:szCs w:val="32"/>
        </w:rPr>
        <w:t>5</w:t>
      </w:r>
      <w:r>
        <w:rPr>
          <w:rFonts w:hint="eastAsia" w:ascii="仿宋_GB2312" w:eastAsia="仿宋_GB2312"/>
          <w:snapToGrid w:val="0"/>
          <w:color w:val="000000"/>
          <w:kern w:val="0"/>
          <w:sz w:val="32"/>
          <w:szCs w:val="32"/>
        </w:rPr>
        <w:t>万区域航磁测量，</w:t>
      </w:r>
      <w:r>
        <w:rPr>
          <w:rFonts w:ascii="仿宋_GB2312" w:eastAsia="仿宋_GB2312"/>
          <w:snapToGrid w:val="0"/>
          <w:color w:val="000000"/>
          <w:kern w:val="0"/>
          <w:sz w:val="32"/>
          <w:szCs w:val="32"/>
        </w:rPr>
        <w:t>1</w:t>
      </w:r>
      <w:r>
        <w:rPr>
          <w:rFonts w:hint="eastAsia" w:ascii="仿宋_GB2312" w:eastAsia="仿宋_GB2312"/>
          <w:snapToGrid w:val="0"/>
          <w:color w:val="000000"/>
          <w:kern w:val="0"/>
          <w:sz w:val="32"/>
          <w:szCs w:val="32"/>
        </w:rPr>
        <w:t>∶</w:t>
      </w:r>
      <w:r>
        <w:rPr>
          <w:rFonts w:ascii="仿宋_GB2312" w:eastAsia="仿宋_GB2312"/>
          <w:snapToGrid w:val="0"/>
          <w:color w:val="000000"/>
          <w:kern w:val="0"/>
          <w:sz w:val="32"/>
          <w:szCs w:val="32"/>
        </w:rPr>
        <w:t>5</w:t>
      </w:r>
      <w:r>
        <w:rPr>
          <w:rFonts w:hint="eastAsia" w:ascii="仿宋_GB2312" w:eastAsia="仿宋_GB2312"/>
          <w:snapToGrid w:val="0"/>
          <w:color w:val="000000"/>
          <w:kern w:val="0"/>
          <w:sz w:val="32"/>
          <w:szCs w:val="32"/>
        </w:rPr>
        <w:t>万—</w:t>
      </w:r>
      <w:r>
        <w:rPr>
          <w:rFonts w:ascii="仿宋_GB2312" w:eastAsia="仿宋_GB2312"/>
          <w:snapToGrid w:val="0"/>
          <w:color w:val="000000"/>
          <w:kern w:val="0"/>
          <w:sz w:val="32"/>
          <w:szCs w:val="32"/>
        </w:rPr>
        <w:t>1</w:t>
      </w:r>
      <w:r>
        <w:rPr>
          <w:rFonts w:hint="eastAsia" w:ascii="仿宋_GB2312" w:eastAsia="仿宋_GB2312"/>
          <w:snapToGrid w:val="0"/>
          <w:color w:val="000000"/>
          <w:kern w:val="0"/>
          <w:sz w:val="32"/>
          <w:szCs w:val="32"/>
        </w:rPr>
        <w:t>∶</w:t>
      </w:r>
      <w:r>
        <w:rPr>
          <w:rFonts w:ascii="仿宋_GB2312" w:eastAsia="仿宋_GB2312"/>
          <w:snapToGrid w:val="0"/>
          <w:color w:val="000000"/>
          <w:kern w:val="0"/>
          <w:sz w:val="32"/>
          <w:szCs w:val="32"/>
        </w:rPr>
        <w:t>20</w:t>
      </w:r>
      <w:r>
        <w:rPr>
          <w:rFonts w:hint="eastAsia" w:ascii="仿宋_GB2312" w:eastAsia="仿宋_GB2312"/>
          <w:snapToGrid w:val="0"/>
          <w:color w:val="000000"/>
          <w:kern w:val="0"/>
          <w:sz w:val="32"/>
          <w:szCs w:val="32"/>
        </w:rPr>
        <w:t>万区域重力调查，</w:t>
      </w:r>
      <w:r>
        <w:rPr>
          <w:rFonts w:ascii="仿宋_GB2312" w:eastAsia="仿宋_GB2312"/>
          <w:snapToGrid w:val="0"/>
          <w:color w:val="000000"/>
          <w:kern w:val="0"/>
          <w:sz w:val="32"/>
          <w:szCs w:val="32"/>
        </w:rPr>
        <w:t>1</w:t>
      </w:r>
      <w:r>
        <w:rPr>
          <w:rFonts w:hint="eastAsia" w:ascii="仿宋_GB2312" w:eastAsia="仿宋_GB2312"/>
          <w:snapToGrid w:val="0"/>
          <w:color w:val="000000"/>
          <w:kern w:val="0"/>
          <w:sz w:val="32"/>
          <w:szCs w:val="32"/>
        </w:rPr>
        <w:t>：</w:t>
      </w:r>
      <w:r>
        <w:rPr>
          <w:rFonts w:ascii="仿宋_GB2312" w:eastAsia="仿宋_GB2312"/>
          <w:snapToGrid w:val="0"/>
          <w:color w:val="000000"/>
          <w:kern w:val="0"/>
          <w:sz w:val="32"/>
          <w:szCs w:val="32"/>
        </w:rPr>
        <w:t>20</w:t>
      </w:r>
      <w:r>
        <w:rPr>
          <w:rFonts w:hint="eastAsia" w:ascii="仿宋_GB2312" w:eastAsia="仿宋_GB2312"/>
          <w:snapToGrid w:val="0"/>
          <w:color w:val="000000"/>
          <w:kern w:val="0"/>
          <w:sz w:val="32"/>
          <w:szCs w:val="32"/>
        </w:rPr>
        <w:t>万区域地球化学调查。</w:t>
      </w:r>
    </w:p>
    <w:p>
      <w:pPr>
        <w:spacing w:line="560" w:lineRule="exact"/>
        <w:ind w:firstLine="640" w:firstLineChars="200"/>
        <w:rPr>
          <w:rFonts w:ascii="仿宋_GB2312" w:eastAsia="仿宋_GB2312"/>
          <w:snapToGrid w:val="0"/>
          <w:color w:val="000000"/>
          <w:kern w:val="0"/>
          <w:sz w:val="32"/>
          <w:szCs w:val="32"/>
        </w:rPr>
      </w:pPr>
      <w:r>
        <w:rPr>
          <w:rFonts w:hint="eastAsia" w:ascii="仿宋_GB2312" w:eastAsia="仿宋_GB2312"/>
          <w:snapToGrid w:val="0"/>
          <w:color w:val="000000"/>
          <w:kern w:val="0"/>
          <w:sz w:val="32"/>
          <w:szCs w:val="32"/>
        </w:rPr>
        <w:t>目前全市境内无探矿权。</w:t>
      </w:r>
    </w:p>
    <w:p>
      <w:pPr>
        <w:spacing w:line="560" w:lineRule="exact"/>
        <w:ind w:firstLine="642" w:firstLineChars="200"/>
        <w:rPr>
          <w:rFonts w:ascii="仿宋_GB2312" w:eastAsia="仿宋_GB2312"/>
          <w:snapToGrid w:val="0"/>
          <w:color w:val="000000"/>
          <w:kern w:val="0"/>
          <w:sz w:val="32"/>
          <w:szCs w:val="32"/>
        </w:rPr>
      </w:pPr>
      <w:r>
        <w:rPr>
          <w:rFonts w:ascii="仿宋_GB2312" w:hAnsi="仿宋" w:eastAsia="仿宋_GB2312"/>
          <w:b/>
          <w:snapToGrid w:val="0"/>
          <w:color w:val="000000"/>
          <w:kern w:val="0"/>
          <w:sz w:val="32"/>
          <w:szCs w:val="32"/>
        </w:rPr>
        <w:t>3.</w:t>
      </w:r>
      <w:r>
        <w:rPr>
          <w:rFonts w:hint="eastAsia" w:ascii="仿宋_GB2312" w:hAnsi="仿宋" w:eastAsia="仿宋_GB2312"/>
          <w:b/>
          <w:snapToGrid w:val="0"/>
          <w:color w:val="000000"/>
          <w:kern w:val="0"/>
          <w:sz w:val="32"/>
          <w:szCs w:val="32"/>
        </w:rPr>
        <w:t>矿产资源开发利用现状。</w:t>
      </w:r>
      <w:bookmarkStart w:id="14" w:name="_Hlk93477385"/>
      <w:r>
        <w:rPr>
          <w:rFonts w:hint="eastAsia" w:ascii="仿宋_GB2312" w:eastAsia="仿宋_GB2312"/>
          <w:snapToGrid w:val="0"/>
          <w:color w:val="000000"/>
          <w:kern w:val="0"/>
          <w:sz w:val="32"/>
          <w:szCs w:val="32"/>
        </w:rPr>
        <w:t>截至</w:t>
      </w:r>
      <w:r>
        <w:rPr>
          <w:rFonts w:ascii="仿宋_GB2312" w:eastAsia="仿宋_GB2312"/>
          <w:snapToGrid w:val="0"/>
          <w:color w:val="000000"/>
          <w:kern w:val="0"/>
          <w:sz w:val="32"/>
          <w:szCs w:val="32"/>
        </w:rPr>
        <w:t>2020</w:t>
      </w:r>
      <w:r>
        <w:rPr>
          <w:rFonts w:hint="eastAsia" w:ascii="仿宋_GB2312" w:eastAsia="仿宋_GB2312"/>
          <w:snapToGrid w:val="0"/>
          <w:color w:val="000000"/>
          <w:kern w:val="0"/>
          <w:sz w:val="32"/>
          <w:szCs w:val="32"/>
        </w:rPr>
        <w:t>年底，</w:t>
      </w:r>
      <w:bookmarkEnd w:id="14"/>
      <w:r>
        <w:rPr>
          <w:rFonts w:hint="eastAsia" w:ascii="仿宋_GB2312" w:eastAsia="仿宋_GB2312"/>
          <w:snapToGrid w:val="0"/>
          <w:color w:val="000000"/>
          <w:kern w:val="0"/>
          <w:sz w:val="32"/>
          <w:szCs w:val="32"/>
        </w:rPr>
        <w:t>滕州市开发利用的矿产有煤、水泥用灰岩和建筑石料用灰岩</w:t>
      </w:r>
      <w:r>
        <w:rPr>
          <w:rFonts w:ascii="仿宋_GB2312" w:eastAsia="仿宋_GB2312"/>
          <w:snapToGrid w:val="0"/>
          <w:color w:val="000000"/>
          <w:kern w:val="0"/>
          <w:sz w:val="32"/>
          <w:szCs w:val="32"/>
        </w:rPr>
        <w:t>3</w:t>
      </w:r>
      <w:r>
        <w:rPr>
          <w:rFonts w:hint="eastAsia" w:ascii="仿宋_GB2312" w:eastAsia="仿宋_GB2312"/>
          <w:snapToGrid w:val="0"/>
          <w:color w:val="000000"/>
          <w:kern w:val="0"/>
          <w:sz w:val="32"/>
          <w:szCs w:val="32"/>
        </w:rPr>
        <w:t>种。矿山企业共</w:t>
      </w:r>
      <w:r>
        <w:rPr>
          <w:rFonts w:ascii="仿宋_GB2312" w:eastAsia="仿宋_GB2312"/>
          <w:snapToGrid w:val="0"/>
          <w:color w:val="000000"/>
          <w:kern w:val="0"/>
          <w:sz w:val="32"/>
          <w:szCs w:val="32"/>
        </w:rPr>
        <w:t>19</w:t>
      </w:r>
      <w:r>
        <w:rPr>
          <w:rFonts w:hint="eastAsia" w:ascii="仿宋_GB2312" w:eastAsia="仿宋_GB2312"/>
          <w:snapToGrid w:val="0"/>
          <w:color w:val="000000"/>
          <w:kern w:val="0"/>
          <w:sz w:val="32"/>
          <w:szCs w:val="32"/>
        </w:rPr>
        <w:t>个，其中煤矿</w:t>
      </w:r>
      <w:r>
        <w:rPr>
          <w:rFonts w:ascii="仿宋_GB2312" w:eastAsia="仿宋_GB2312"/>
          <w:snapToGrid w:val="0"/>
          <w:color w:val="000000"/>
          <w:kern w:val="0"/>
          <w:sz w:val="32"/>
          <w:szCs w:val="32"/>
        </w:rPr>
        <w:t>15</w:t>
      </w:r>
      <w:r>
        <w:rPr>
          <w:rFonts w:hint="eastAsia" w:ascii="仿宋_GB2312" w:eastAsia="仿宋_GB2312"/>
          <w:snapToGrid w:val="0"/>
          <w:color w:val="000000"/>
          <w:kern w:val="0"/>
          <w:sz w:val="32"/>
          <w:szCs w:val="32"/>
        </w:rPr>
        <w:t>个、水泥用灰岩矿</w:t>
      </w:r>
      <w:r>
        <w:rPr>
          <w:rFonts w:ascii="仿宋_GB2312" w:eastAsia="仿宋_GB2312"/>
          <w:snapToGrid w:val="0"/>
          <w:color w:val="000000"/>
          <w:kern w:val="0"/>
          <w:sz w:val="32"/>
          <w:szCs w:val="32"/>
        </w:rPr>
        <w:t>2</w:t>
      </w:r>
      <w:r>
        <w:rPr>
          <w:rFonts w:hint="eastAsia" w:ascii="仿宋_GB2312" w:eastAsia="仿宋_GB2312"/>
          <w:snapToGrid w:val="0"/>
          <w:color w:val="000000"/>
          <w:kern w:val="0"/>
          <w:sz w:val="32"/>
          <w:szCs w:val="32"/>
        </w:rPr>
        <w:t>个、建筑石料用灰岩矿</w:t>
      </w:r>
      <w:r>
        <w:rPr>
          <w:rFonts w:ascii="仿宋_GB2312" w:eastAsia="仿宋_GB2312"/>
          <w:snapToGrid w:val="0"/>
          <w:color w:val="000000"/>
          <w:kern w:val="0"/>
          <w:sz w:val="32"/>
          <w:szCs w:val="32"/>
        </w:rPr>
        <w:t>2</w:t>
      </w:r>
      <w:r>
        <w:rPr>
          <w:rFonts w:hint="eastAsia" w:ascii="仿宋_GB2312" w:eastAsia="仿宋_GB2312"/>
          <w:snapToGrid w:val="0"/>
          <w:color w:val="000000"/>
          <w:kern w:val="0"/>
          <w:sz w:val="32"/>
          <w:szCs w:val="32"/>
        </w:rPr>
        <w:t>个。</w:t>
      </w:r>
      <w:r>
        <w:rPr>
          <w:rFonts w:ascii="仿宋_GB2312" w:eastAsia="仿宋_GB2312"/>
          <w:snapToGrid w:val="0"/>
          <w:color w:val="000000"/>
          <w:kern w:val="0"/>
          <w:sz w:val="32"/>
          <w:szCs w:val="32"/>
        </w:rPr>
        <w:t>2020</w:t>
      </w:r>
      <w:r>
        <w:rPr>
          <w:rFonts w:hint="eastAsia" w:ascii="仿宋_GB2312" w:eastAsia="仿宋_GB2312"/>
          <w:snapToGrid w:val="0"/>
          <w:color w:val="000000"/>
          <w:kern w:val="0"/>
          <w:sz w:val="32"/>
          <w:szCs w:val="32"/>
        </w:rPr>
        <w:t>年度开采量分别为</w:t>
      </w:r>
      <w:r>
        <w:rPr>
          <w:rFonts w:ascii="仿宋_GB2312" w:eastAsia="仿宋_GB2312"/>
          <w:snapToGrid w:val="0"/>
          <w:color w:val="000000"/>
          <w:kern w:val="0"/>
          <w:sz w:val="32"/>
          <w:szCs w:val="32"/>
        </w:rPr>
        <w:t>1057.38</w:t>
      </w:r>
      <w:r>
        <w:rPr>
          <w:rFonts w:hint="eastAsia" w:ascii="仿宋_GB2312" w:eastAsia="仿宋_GB2312"/>
          <w:snapToGrid w:val="0"/>
          <w:color w:val="000000"/>
          <w:kern w:val="0"/>
          <w:sz w:val="32"/>
          <w:szCs w:val="32"/>
        </w:rPr>
        <w:t>、</w:t>
      </w:r>
      <w:r>
        <w:rPr>
          <w:rFonts w:ascii="仿宋_GB2312" w:eastAsia="仿宋_GB2312"/>
          <w:snapToGrid w:val="0"/>
          <w:color w:val="000000"/>
          <w:kern w:val="0"/>
          <w:sz w:val="32"/>
          <w:szCs w:val="32"/>
        </w:rPr>
        <w:t>733.10</w:t>
      </w:r>
      <w:r>
        <w:rPr>
          <w:rFonts w:hint="eastAsia" w:ascii="仿宋_GB2312" w:eastAsia="仿宋_GB2312"/>
          <w:snapToGrid w:val="0"/>
          <w:color w:val="000000"/>
          <w:kern w:val="0"/>
          <w:sz w:val="32"/>
          <w:szCs w:val="32"/>
        </w:rPr>
        <w:t>和</w:t>
      </w:r>
      <w:r>
        <w:rPr>
          <w:rFonts w:ascii="仿宋_GB2312" w:eastAsia="仿宋_GB2312"/>
          <w:snapToGrid w:val="0"/>
          <w:color w:val="000000"/>
          <w:kern w:val="0"/>
          <w:sz w:val="32"/>
          <w:szCs w:val="32"/>
        </w:rPr>
        <w:t>295.92</w:t>
      </w:r>
      <w:r>
        <w:rPr>
          <w:rFonts w:hint="eastAsia" w:ascii="仿宋_GB2312" w:eastAsia="仿宋_GB2312"/>
          <w:snapToGrid w:val="0"/>
          <w:color w:val="000000"/>
          <w:kern w:val="0"/>
          <w:sz w:val="32"/>
          <w:szCs w:val="32"/>
        </w:rPr>
        <w:t>万吨。煤炭回采率平均</w:t>
      </w:r>
      <w:r>
        <w:rPr>
          <w:rFonts w:ascii="仿宋_GB2312" w:eastAsia="仿宋_GB2312"/>
          <w:snapToGrid w:val="0"/>
          <w:color w:val="000000"/>
          <w:kern w:val="0"/>
          <w:sz w:val="32"/>
          <w:szCs w:val="32"/>
        </w:rPr>
        <w:t>89.91</w:t>
      </w:r>
      <w:r>
        <w:rPr>
          <w:rFonts w:hint="eastAsia" w:ascii="仿宋_GB2312" w:eastAsia="仿宋_GB2312"/>
          <w:snapToGrid w:val="0"/>
          <w:color w:val="000000"/>
          <w:kern w:val="0"/>
          <w:sz w:val="32"/>
          <w:szCs w:val="32"/>
        </w:rPr>
        <w:t>％，水泥用灰岩开采回采率平均</w:t>
      </w:r>
      <w:r>
        <w:rPr>
          <w:rFonts w:ascii="仿宋_GB2312" w:eastAsia="仿宋_GB2312"/>
          <w:snapToGrid w:val="0"/>
          <w:color w:val="000000"/>
          <w:kern w:val="0"/>
          <w:sz w:val="32"/>
          <w:szCs w:val="32"/>
        </w:rPr>
        <w:t>98.5</w:t>
      </w:r>
      <w:r>
        <w:rPr>
          <w:rFonts w:hint="eastAsia" w:ascii="仿宋_GB2312" w:eastAsia="仿宋_GB2312"/>
          <w:snapToGrid w:val="0"/>
          <w:color w:val="000000"/>
          <w:kern w:val="0"/>
          <w:sz w:val="32"/>
          <w:szCs w:val="32"/>
        </w:rPr>
        <w:t>％，建筑石料用灰岩回采率平均</w:t>
      </w:r>
      <w:r>
        <w:rPr>
          <w:rFonts w:ascii="仿宋_GB2312" w:eastAsia="仿宋_GB2312"/>
          <w:snapToGrid w:val="0"/>
          <w:color w:val="000000"/>
          <w:kern w:val="0"/>
          <w:sz w:val="32"/>
          <w:szCs w:val="32"/>
        </w:rPr>
        <w:t>99%</w:t>
      </w:r>
      <w:r>
        <w:rPr>
          <w:rFonts w:hint="eastAsia" w:ascii="仿宋_GB2312" w:eastAsia="仿宋_GB2312"/>
          <w:snapToGrid w:val="0"/>
          <w:color w:val="000000"/>
          <w:kern w:val="0"/>
          <w:sz w:val="32"/>
          <w:szCs w:val="32"/>
        </w:rPr>
        <w:t>。</w:t>
      </w:r>
    </w:p>
    <w:p>
      <w:pPr>
        <w:spacing w:line="560" w:lineRule="exact"/>
        <w:ind w:firstLine="642" w:firstLineChars="200"/>
        <w:rPr>
          <w:rFonts w:ascii="仿宋" w:hAnsi="仿宋" w:eastAsia="仿宋"/>
          <w:snapToGrid w:val="0"/>
          <w:kern w:val="0"/>
          <w:sz w:val="32"/>
          <w:szCs w:val="32"/>
        </w:rPr>
      </w:pPr>
      <w:r>
        <w:rPr>
          <w:rFonts w:ascii="仿宋_GB2312" w:hAnsi="仿宋" w:eastAsia="仿宋_GB2312"/>
          <w:b/>
          <w:snapToGrid w:val="0"/>
          <w:color w:val="000000"/>
          <w:kern w:val="0"/>
          <w:sz w:val="32"/>
          <w:szCs w:val="32"/>
        </w:rPr>
        <w:t>4.</w:t>
      </w:r>
      <w:r>
        <w:rPr>
          <w:rFonts w:hint="eastAsia" w:ascii="仿宋_GB2312" w:hAnsi="仿宋" w:eastAsia="仿宋_GB2312"/>
          <w:b/>
          <w:snapToGrid w:val="0"/>
          <w:color w:val="000000"/>
          <w:kern w:val="0"/>
          <w:sz w:val="32"/>
          <w:szCs w:val="32"/>
        </w:rPr>
        <w:t>矿山地质环境治理保护与恢复现状。</w:t>
      </w:r>
      <w:r>
        <w:rPr>
          <w:rFonts w:hint="eastAsia" w:ascii="仿宋_GB2312" w:eastAsia="仿宋_GB2312"/>
          <w:snapToGrid w:val="0"/>
          <w:color w:val="000000"/>
          <w:kern w:val="0"/>
          <w:sz w:val="32"/>
          <w:szCs w:val="32"/>
        </w:rPr>
        <w:t>截至</w:t>
      </w:r>
      <w:r>
        <w:rPr>
          <w:rFonts w:ascii="仿宋_GB2312" w:eastAsia="仿宋_GB2312"/>
          <w:snapToGrid w:val="0"/>
          <w:color w:val="000000"/>
          <w:kern w:val="0"/>
          <w:sz w:val="32"/>
          <w:szCs w:val="32"/>
        </w:rPr>
        <w:t>2020</w:t>
      </w:r>
      <w:r>
        <w:rPr>
          <w:rFonts w:hint="eastAsia" w:ascii="仿宋_GB2312" w:eastAsia="仿宋_GB2312"/>
          <w:snapToGrid w:val="0"/>
          <w:color w:val="000000"/>
          <w:kern w:val="0"/>
          <w:sz w:val="32"/>
          <w:szCs w:val="32"/>
        </w:rPr>
        <w:t>年底</w:t>
      </w:r>
      <w:r>
        <w:rPr>
          <w:rFonts w:ascii="仿宋_GB2312" w:eastAsia="仿宋_GB2312"/>
          <w:snapToGrid w:val="0"/>
          <w:color w:val="000000"/>
          <w:kern w:val="0"/>
          <w:sz w:val="32"/>
          <w:szCs w:val="32"/>
        </w:rPr>
        <w:t>,</w:t>
      </w:r>
      <w:r>
        <w:rPr>
          <w:rFonts w:hint="eastAsia" w:ascii="仿宋_GB2312" w:eastAsia="仿宋_GB2312"/>
          <w:snapToGrid w:val="0"/>
          <w:color w:val="000000"/>
          <w:kern w:val="0"/>
          <w:sz w:val="32"/>
          <w:szCs w:val="32"/>
        </w:rPr>
        <w:t>全市形成采煤塌陷面积约</w:t>
      </w:r>
      <w:r>
        <w:rPr>
          <w:rFonts w:ascii="仿宋_GB2312" w:eastAsia="仿宋_GB2312"/>
          <w:snapToGrid w:val="0"/>
          <w:color w:val="000000"/>
          <w:kern w:val="0"/>
          <w:sz w:val="32"/>
          <w:szCs w:val="32"/>
        </w:rPr>
        <w:t>86973.06</w:t>
      </w:r>
      <w:r>
        <w:rPr>
          <w:rFonts w:hint="eastAsia" w:ascii="仿宋_GB2312" w:eastAsia="仿宋_GB2312"/>
          <w:snapToGrid w:val="0"/>
          <w:color w:val="000000"/>
          <w:kern w:val="0"/>
          <w:sz w:val="32"/>
          <w:szCs w:val="32"/>
        </w:rPr>
        <w:t>亩，其中已稳沉</w:t>
      </w:r>
      <w:r>
        <w:rPr>
          <w:rFonts w:ascii="仿宋_GB2312" w:eastAsia="仿宋_GB2312"/>
          <w:snapToGrid w:val="0"/>
          <w:color w:val="000000"/>
          <w:kern w:val="0"/>
          <w:sz w:val="32"/>
          <w:szCs w:val="32"/>
        </w:rPr>
        <w:t>81136.95</w:t>
      </w:r>
      <w:r>
        <w:rPr>
          <w:rFonts w:hint="eastAsia" w:ascii="仿宋_GB2312" w:eastAsia="仿宋_GB2312"/>
          <w:snapToGrid w:val="0"/>
          <w:color w:val="000000"/>
          <w:kern w:val="0"/>
          <w:sz w:val="32"/>
          <w:szCs w:val="32"/>
        </w:rPr>
        <w:t>亩，已治理面积</w:t>
      </w:r>
      <w:r>
        <w:rPr>
          <w:rFonts w:ascii="仿宋_GB2312" w:eastAsia="仿宋_GB2312"/>
          <w:snapToGrid w:val="0"/>
          <w:color w:val="000000"/>
          <w:kern w:val="0"/>
          <w:sz w:val="32"/>
          <w:szCs w:val="32"/>
        </w:rPr>
        <w:t>67892.29</w:t>
      </w:r>
      <w:r>
        <w:rPr>
          <w:rFonts w:hint="eastAsia" w:ascii="仿宋_GB2312" w:eastAsia="仿宋_GB2312"/>
          <w:snapToGrid w:val="0"/>
          <w:color w:val="000000"/>
          <w:kern w:val="0"/>
          <w:sz w:val="32"/>
          <w:szCs w:val="32"/>
        </w:rPr>
        <w:t>亩（其中政府责任主体面积</w:t>
      </w:r>
      <w:r>
        <w:rPr>
          <w:rFonts w:ascii="仿宋_GB2312" w:eastAsia="仿宋_GB2312"/>
          <w:snapToGrid w:val="0"/>
          <w:color w:val="000000"/>
          <w:kern w:val="0"/>
          <w:sz w:val="32"/>
          <w:szCs w:val="32"/>
        </w:rPr>
        <w:t>4165.89</w:t>
      </w:r>
      <w:r>
        <w:rPr>
          <w:rFonts w:hint="eastAsia" w:ascii="仿宋_GB2312" w:eastAsia="仿宋_GB2312"/>
          <w:snapToGrid w:val="0"/>
          <w:color w:val="000000"/>
          <w:kern w:val="0"/>
          <w:sz w:val="32"/>
          <w:szCs w:val="32"/>
        </w:rPr>
        <w:t>亩，企业责任主体面积</w:t>
      </w:r>
      <w:r>
        <w:rPr>
          <w:rFonts w:ascii="仿宋_GB2312" w:eastAsia="仿宋_GB2312"/>
          <w:snapToGrid w:val="0"/>
          <w:color w:val="000000"/>
          <w:kern w:val="0"/>
          <w:sz w:val="32"/>
          <w:szCs w:val="32"/>
        </w:rPr>
        <w:t>63726.40</w:t>
      </w:r>
      <w:r>
        <w:rPr>
          <w:rFonts w:hint="eastAsia" w:ascii="仿宋_GB2312" w:eastAsia="仿宋_GB2312"/>
          <w:snapToGrid w:val="0"/>
          <w:color w:val="000000"/>
          <w:kern w:val="0"/>
          <w:sz w:val="32"/>
          <w:szCs w:val="32"/>
        </w:rPr>
        <w:t>亩）。完成破损山体治理项目</w:t>
      </w:r>
      <w:r>
        <w:rPr>
          <w:rFonts w:ascii="仿宋_GB2312" w:eastAsia="仿宋_GB2312"/>
          <w:snapToGrid w:val="0"/>
          <w:color w:val="000000"/>
          <w:kern w:val="0"/>
          <w:sz w:val="32"/>
          <w:szCs w:val="32"/>
        </w:rPr>
        <w:t>12</w:t>
      </w:r>
      <w:r>
        <w:rPr>
          <w:rFonts w:hint="eastAsia" w:ascii="仿宋_GB2312" w:eastAsia="仿宋_GB2312"/>
          <w:snapToGrid w:val="0"/>
          <w:color w:val="000000"/>
          <w:kern w:val="0"/>
          <w:sz w:val="32"/>
          <w:szCs w:val="32"/>
        </w:rPr>
        <w:t>个，对</w:t>
      </w:r>
      <w:r>
        <w:rPr>
          <w:rFonts w:ascii="仿宋_GB2312" w:eastAsia="仿宋_GB2312"/>
          <w:snapToGrid w:val="0"/>
          <w:color w:val="000000"/>
          <w:kern w:val="0"/>
          <w:sz w:val="32"/>
          <w:szCs w:val="32"/>
        </w:rPr>
        <w:t>54</w:t>
      </w:r>
      <w:r>
        <w:rPr>
          <w:rFonts w:hint="eastAsia" w:ascii="仿宋_GB2312" w:eastAsia="仿宋_GB2312"/>
          <w:snapToGrid w:val="0"/>
          <w:color w:val="000000"/>
          <w:kern w:val="0"/>
          <w:sz w:val="32"/>
          <w:szCs w:val="32"/>
        </w:rPr>
        <w:t>座山体纳入保护山体名录并立桩界定范围和责任主体。</w:t>
      </w:r>
    </w:p>
    <w:p>
      <w:pPr>
        <w:spacing w:line="560" w:lineRule="exact"/>
        <w:ind w:firstLine="642" w:firstLineChars="200"/>
        <w:rPr>
          <w:rFonts w:ascii="仿宋_GB2312" w:eastAsia="仿宋_GB2312"/>
          <w:snapToGrid w:val="0"/>
          <w:color w:val="000000"/>
          <w:kern w:val="0"/>
          <w:sz w:val="32"/>
          <w:szCs w:val="32"/>
        </w:rPr>
      </w:pPr>
      <w:r>
        <w:rPr>
          <w:rFonts w:ascii="仿宋_GB2312" w:hAnsi="仿宋" w:eastAsia="仿宋_GB2312"/>
          <w:b/>
          <w:snapToGrid w:val="0"/>
          <w:color w:val="000000"/>
          <w:kern w:val="0"/>
          <w:sz w:val="32"/>
          <w:szCs w:val="32"/>
        </w:rPr>
        <w:t>5.</w:t>
      </w:r>
      <w:r>
        <w:rPr>
          <w:rFonts w:hint="eastAsia" w:ascii="仿宋_GB2312" w:hAnsi="仿宋" w:eastAsia="仿宋_GB2312"/>
          <w:b/>
          <w:snapToGrid w:val="0"/>
          <w:color w:val="000000"/>
          <w:kern w:val="0"/>
          <w:sz w:val="32"/>
          <w:szCs w:val="32"/>
        </w:rPr>
        <w:t>绿色矿山建设现状。</w:t>
      </w:r>
      <w:r>
        <w:rPr>
          <w:rFonts w:hint="eastAsia" w:ascii="仿宋_GB2312" w:eastAsia="仿宋_GB2312"/>
          <w:snapToGrid w:val="0"/>
          <w:color w:val="000000"/>
          <w:kern w:val="0"/>
          <w:sz w:val="32"/>
          <w:szCs w:val="32"/>
        </w:rPr>
        <w:t>截至</w:t>
      </w:r>
      <w:r>
        <w:rPr>
          <w:rFonts w:ascii="仿宋_GB2312" w:eastAsia="仿宋_GB2312"/>
          <w:snapToGrid w:val="0"/>
          <w:color w:val="000000"/>
          <w:kern w:val="0"/>
          <w:sz w:val="32"/>
          <w:szCs w:val="32"/>
        </w:rPr>
        <w:t>2020</w:t>
      </w:r>
      <w:r>
        <w:rPr>
          <w:rFonts w:hint="eastAsia" w:ascii="仿宋_GB2312" w:eastAsia="仿宋_GB2312"/>
          <w:snapToGrid w:val="0"/>
          <w:color w:val="000000"/>
          <w:kern w:val="0"/>
          <w:sz w:val="32"/>
          <w:szCs w:val="32"/>
        </w:rPr>
        <w:t>年底，全市共有</w:t>
      </w:r>
      <w:r>
        <w:rPr>
          <w:rFonts w:ascii="仿宋_GB2312" w:eastAsia="仿宋_GB2312"/>
          <w:snapToGrid w:val="0"/>
          <w:color w:val="000000"/>
          <w:kern w:val="0"/>
          <w:sz w:val="32"/>
          <w:szCs w:val="32"/>
        </w:rPr>
        <w:t>6</w:t>
      </w:r>
      <w:r>
        <w:rPr>
          <w:rFonts w:hint="eastAsia" w:ascii="仿宋_GB2312" w:eastAsia="仿宋_GB2312"/>
          <w:snapToGrid w:val="0"/>
          <w:color w:val="000000"/>
          <w:kern w:val="0"/>
          <w:sz w:val="32"/>
          <w:szCs w:val="32"/>
        </w:rPr>
        <w:t>家矿山企业已纳入全国和省级绿色矿山名录，其中全国绿色矿山名录</w:t>
      </w:r>
      <w:r>
        <w:rPr>
          <w:rFonts w:ascii="仿宋_GB2312" w:eastAsia="仿宋_GB2312"/>
          <w:snapToGrid w:val="0"/>
          <w:color w:val="000000"/>
          <w:kern w:val="0"/>
          <w:sz w:val="32"/>
          <w:szCs w:val="32"/>
        </w:rPr>
        <w:t>2</w:t>
      </w:r>
      <w:r>
        <w:rPr>
          <w:rFonts w:hint="eastAsia" w:ascii="仿宋_GB2312" w:eastAsia="仿宋_GB2312"/>
          <w:snapToGrid w:val="0"/>
          <w:color w:val="000000"/>
          <w:kern w:val="0"/>
          <w:sz w:val="32"/>
          <w:szCs w:val="32"/>
        </w:rPr>
        <w:t>家，省级绿色矿山名录</w:t>
      </w:r>
      <w:r>
        <w:rPr>
          <w:rFonts w:ascii="仿宋_GB2312" w:eastAsia="仿宋_GB2312"/>
          <w:snapToGrid w:val="0"/>
          <w:color w:val="000000"/>
          <w:kern w:val="0"/>
          <w:sz w:val="32"/>
          <w:szCs w:val="32"/>
        </w:rPr>
        <w:t>4</w:t>
      </w:r>
      <w:r>
        <w:rPr>
          <w:rFonts w:hint="eastAsia" w:ascii="仿宋_GB2312" w:eastAsia="仿宋_GB2312"/>
          <w:snapToGrid w:val="0"/>
          <w:color w:val="000000"/>
          <w:kern w:val="0"/>
          <w:sz w:val="32"/>
          <w:szCs w:val="32"/>
        </w:rPr>
        <w:t>家。</w:t>
      </w:r>
      <w:r>
        <w:rPr>
          <w:rFonts w:ascii="仿宋_GB2312" w:eastAsia="仿宋_GB2312"/>
          <w:snapToGrid w:val="0"/>
          <w:color w:val="000000"/>
          <w:kern w:val="0"/>
          <w:sz w:val="32"/>
          <w:szCs w:val="32"/>
        </w:rPr>
        <w:t>3</w:t>
      </w:r>
      <w:r>
        <w:rPr>
          <w:rFonts w:hint="eastAsia" w:ascii="仿宋_GB2312" w:eastAsia="仿宋_GB2312"/>
          <w:snapToGrid w:val="0"/>
          <w:color w:val="000000"/>
          <w:kern w:val="0"/>
          <w:sz w:val="32"/>
          <w:szCs w:val="32"/>
        </w:rPr>
        <w:t>家露天开采矿山已全面完成绿色矿山建设任务，</w:t>
      </w:r>
      <w:r>
        <w:rPr>
          <w:rFonts w:ascii="仿宋_GB2312" w:eastAsia="仿宋_GB2312"/>
          <w:snapToGrid w:val="0"/>
          <w:color w:val="000000"/>
          <w:kern w:val="0"/>
          <w:sz w:val="32"/>
          <w:szCs w:val="32"/>
        </w:rPr>
        <w:t>10</w:t>
      </w:r>
      <w:r>
        <w:rPr>
          <w:rFonts w:hint="eastAsia" w:ascii="仿宋_GB2312" w:eastAsia="仿宋_GB2312"/>
          <w:snapToGrid w:val="0"/>
          <w:color w:val="000000"/>
          <w:kern w:val="0"/>
          <w:sz w:val="32"/>
          <w:szCs w:val="32"/>
        </w:rPr>
        <w:t>家煤炭矿山于</w:t>
      </w:r>
      <w:r>
        <w:rPr>
          <w:rFonts w:ascii="仿宋_GB2312" w:eastAsia="仿宋_GB2312"/>
          <w:snapToGrid w:val="0"/>
          <w:color w:val="000000"/>
          <w:kern w:val="0"/>
          <w:sz w:val="32"/>
          <w:szCs w:val="32"/>
        </w:rPr>
        <w:t>2020</w:t>
      </w:r>
      <w:r>
        <w:rPr>
          <w:rFonts w:hint="eastAsia" w:ascii="仿宋_GB2312" w:eastAsia="仿宋_GB2312"/>
          <w:snapToGrid w:val="0"/>
          <w:color w:val="000000"/>
          <w:kern w:val="0"/>
          <w:sz w:val="32"/>
          <w:szCs w:val="32"/>
        </w:rPr>
        <w:t>年</w:t>
      </w:r>
      <w:r>
        <w:rPr>
          <w:rFonts w:ascii="仿宋_GB2312" w:eastAsia="仿宋_GB2312"/>
          <w:snapToGrid w:val="0"/>
          <w:color w:val="000000"/>
          <w:kern w:val="0"/>
          <w:sz w:val="32"/>
          <w:szCs w:val="32"/>
        </w:rPr>
        <w:t>10</w:t>
      </w:r>
      <w:r>
        <w:rPr>
          <w:rFonts w:hint="eastAsia" w:ascii="仿宋_GB2312" w:eastAsia="仿宋_GB2312"/>
          <w:snapToGrid w:val="0"/>
          <w:color w:val="000000"/>
          <w:kern w:val="0"/>
          <w:sz w:val="32"/>
          <w:szCs w:val="32"/>
        </w:rPr>
        <w:t>月完成了绿色矿山建设任务，并参加了第三批省级绿色矿山遴选，成功申报全国绿色矿业发展示范区。</w:t>
      </w:r>
    </w:p>
    <w:p>
      <w:pPr>
        <w:pStyle w:val="4"/>
        <w:keepNext w:val="0"/>
        <w:keepLines w:val="0"/>
        <w:spacing w:before="0" w:after="0" w:line="560" w:lineRule="exact"/>
        <w:ind w:firstLine="640" w:firstLineChars="200"/>
        <w:jc w:val="both"/>
        <w:rPr>
          <w:rFonts w:ascii="楷体_GB2312" w:hAnsi="仿宋" w:eastAsia="楷体_GB2312"/>
          <w:b w:val="0"/>
          <w:snapToGrid w:val="0"/>
          <w:color w:val="000000"/>
          <w:kern w:val="0"/>
          <w:sz w:val="32"/>
        </w:rPr>
      </w:pPr>
      <w:bookmarkStart w:id="15" w:name="_Toc185255920"/>
      <w:bookmarkStart w:id="16" w:name="_Toc184977517"/>
      <w:bookmarkStart w:id="17" w:name="_Toc31763"/>
      <w:bookmarkStart w:id="18" w:name="_Toc7083"/>
      <w:bookmarkStart w:id="19" w:name="_Toc32037"/>
      <w:bookmarkStart w:id="20" w:name="_Toc1168"/>
      <w:bookmarkStart w:id="21" w:name="_Toc32630"/>
      <w:bookmarkStart w:id="22" w:name="_Toc13853"/>
      <w:bookmarkStart w:id="23" w:name="_Toc31972"/>
      <w:bookmarkStart w:id="24" w:name="_Toc47432968"/>
      <w:bookmarkStart w:id="25" w:name="_Toc133399297"/>
      <w:bookmarkStart w:id="26" w:name="_Toc68627369"/>
      <w:r>
        <w:rPr>
          <w:rFonts w:hint="eastAsia" w:ascii="楷体_GB2312" w:hAnsi="仿宋" w:eastAsia="楷体_GB2312"/>
          <w:b w:val="0"/>
          <w:snapToGrid w:val="0"/>
          <w:color w:val="000000"/>
          <w:kern w:val="0"/>
          <w:sz w:val="32"/>
        </w:rPr>
        <w:t>（三）</w:t>
      </w:r>
      <w:bookmarkEnd w:id="15"/>
      <w:bookmarkEnd w:id="16"/>
      <w:r>
        <w:rPr>
          <w:rFonts w:hint="eastAsia" w:ascii="楷体_GB2312" w:hAnsi="仿宋" w:eastAsia="楷体_GB2312"/>
          <w:b w:val="0"/>
          <w:snapToGrid w:val="0"/>
          <w:color w:val="000000"/>
          <w:kern w:val="0"/>
          <w:sz w:val="32"/>
        </w:rPr>
        <w:t>上轮矿产资源规划实施主要成效与问题</w:t>
      </w:r>
      <w:bookmarkEnd w:id="17"/>
      <w:bookmarkEnd w:id="18"/>
      <w:bookmarkEnd w:id="19"/>
      <w:bookmarkEnd w:id="20"/>
      <w:bookmarkEnd w:id="21"/>
      <w:bookmarkEnd w:id="22"/>
      <w:bookmarkEnd w:id="23"/>
      <w:bookmarkEnd w:id="24"/>
      <w:bookmarkEnd w:id="25"/>
      <w:bookmarkEnd w:id="26"/>
    </w:p>
    <w:p>
      <w:pPr>
        <w:spacing w:line="560" w:lineRule="exact"/>
        <w:ind w:firstLine="640" w:firstLineChars="200"/>
        <w:rPr>
          <w:rFonts w:ascii="仿宋_GB2312" w:eastAsia="仿宋_GB2312"/>
          <w:snapToGrid w:val="0"/>
          <w:color w:val="000000"/>
          <w:kern w:val="0"/>
          <w:sz w:val="32"/>
          <w:szCs w:val="32"/>
        </w:rPr>
      </w:pPr>
      <w:r>
        <w:rPr>
          <w:rFonts w:hint="eastAsia" w:ascii="仿宋_GB2312" w:eastAsia="仿宋_GB2312"/>
          <w:snapToGrid w:val="0"/>
          <w:color w:val="000000"/>
          <w:kern w:val="0"/>
          <w:sz w:val="32"/>
          <w:szCs w:val="32"/>
        </w:rPr>
        <w:t>上轮矿产资源总体规划实施以来，滕州市在矿产资源勘查、开发保护、地质环境治理恢复及矿产资源管理等方面取得显著成效。</w:t>
      </w:r>
    </w:p>
    <w:p>
      <w:pPr>
        <w:spacing w:line="560" w:lineRule="exact"/>
        <w:ind w:firstLine="642" w:firstLineChars="200"/>
        <w:rPr>
          <w:rFonts w:ascii="仿宋_GB2312" w:eastAsia="仿宋_GB2312"/>
          <w:snapToGrid w:val="0"/>
          <w:color w:val="000000"/>
          <w:kern w:val="0"/>
          <w:sz w:val="32"/>
          <w:szCs w:val="32"/>
        </w:rPr>
      </w:pPr>
      <w:r>
        <w:rPr>
          <w:rFonts w:ascii="仿宋_GB2312" w:hAnsi="仿宋" w:eastAsia="仿宋_GB2312"/>
          <w:b/>
          <w:snapToGrid w:val="0"/>
          <w:color w:val="000000"/>
          <w:kern w:val="0"/>
          <w:sz w:val="32"/>
          <w:szCs w:val="32"/>
        </w:rPr>
        <w:t>1.</w:t>
      </w:r>
      <w:r>
        <w:rPr>
          <w:rFonts w:hint="eastAsia" w:ascii="仿宋_GB2312" w:hAnsi="仿宋" w:eastAsia="仿宋_GB2312"/>
          <w:b/>
          <w:snapToGrid w:val="0"/>
          <w:color w:val="000000"/>
          <w:kern w:val="0"/>
          <w:sz w:val="32"/>
          <w:szCs w:val="32"/>
        </w:rPr>
        <w:t>基础性地质工作得到加强。</w:t>
      </w:r>
      <w:r>
        <w:rPr>
          <w:rFonts w:hint="eastAsia" w:ascii="仿宋_GB2312" w:eastAsia="仿宋_GB2312"/>
          <w:snapToGrid w:val="0"/>
          <w:color w:val="000000"/>
          <w:kern w:val="0"/>
          <w:sz w:val="32"/>
          <w:szCs w:val="32"/>
        </w:rPr>
        <w:t>紧密结合经济社会发展需求，全面完成辖域内应急供水水源地勘查、南四湖上游流域地质环境调查评价、地热及浅层地温能调查评价工作，地质公共服务能力进一步增强。</w:t>
      </w:r>
    </w:p>
    <w:p>
      <w:pPr>
        <w:spacing w:line="560" w:lineRule="exact"/>
        <w:ind w:firstLine="642" w:firstLineChars="200"/>
        <w:rPr>
          <w:rFonts w:ascii="仿宋_GB2312" w:eastAsia="仿宋_GB2312"/>
          <w:snapToGrid w:val="0"/>
          <w:color w:val="000000"/>
          <w:kern w:val="0"/>
          <w:sz w:val="32"/>
          <w:szCs w:val="32"/>
        </w:rPr>
      </w:pPr>
      <w:r>
        <w:rPr>
          <w:rFonts w:ascii="仿宋_GB2312" w:hAnsi="仿宋" w:eastAsia="仿宋_GB2312"/>
          <w:b/>
          <w:snapToGrid w:val="0"/>
          <w:color w:val="000000"/>
          <w:kern w:val="0"/>
          <w:sz w:val="32"/>
          <w:szCs w:val="32"/>
        </w:rPr>
        <w:t>2.</w:t>
      </w:r>
      <w:r>
        <w:rPr>
          <w:rFonts w:hint="eastAsia" w:ascii="仿宋_GB2312" w:hAnsi="仿宋" w:eastAsia="仿宋_GB2312"/>
          <w:b/>
          <w:snapToGrid w:val="0"/>
          <w:color w:val="000000"/>
          <w:kern w:val="0"/>
          <w:sz w:val="32"/>
          <w:szCs w:val="32"/>
        </w:rPr>
        <w:t>矿产资源开发利用水平持续提高。</w:t>
      </w:r>
      <w:r>
        <w:rPr>
          <w:rFonts w:hint="eastAsia" w:ascii="仿宋_GB2312" w:eastAsia="仿宋_GB2312"/>
          <w:snapToGrid w:val="0"/>
          <w:color w:val="000000"/>
          <w:kern w:val="0"/>
          <w:sz w:val="32"/>
          <w:szCs w:val="32"/>
        </w:rPr>
        <w:t>矿产资源开发秩序规范有序，煤矿、建筑石料矿产最低开采规模进一步提高，矿山规模结构不断优化，大、中型矿山比例进一步提高，矿山数量由</w:t>
      </w:r>
      <w:r>
        <w:rPr>
          <w:rFonts w:ascii="仿宋_GB2312" w:eastAsia="仿宋_GB2312"/>
          <w:snapToGrid w:val="0"/>
          <w:color w:val="000000"/>
          <w:kern w:val="0"/>
          <w:sz w:val="32"/>
          <w:szCs w:val="32"/>
        </w:rPr>
        <w:t>2015</w:t>
      </w:r>
      <w:r>
        <w:rPr>
          <w:rFonts w:hint="eastAsia" w:ascii="仿宋_GB2312" w:eastAsia="仿宋_GB2312"/>
          <w:snapToGrid w:val="0"/>
          <w:color w:val="000000"/>
          <w:kern w:val="0"/>
          <w:sz w:val="32"/>
          <w:szCs w:val="32"/>
        </w:rPr>
        <w:t>年的</w:t>
      </w:r>
      <w:r>
        <w:rPr>
          <w:rFonts w:ascii="仿宋_GB2312" w:eastAsia="仿宋_GB2312"/>
          <w:snapToGrid w:val="0"/>
          <w:color w:val="000000"/>
          <w:kern w:val="0"/>
          <w:sz w:val="32"/>
          <w:szCs w:val="32"/>
        </w:rPr>
        <w:t>24</w:t>
      </w:r>
      <w:r>
        <w:rPr>
          <w:rFonts w:hint="eastAsia" w:ascii="仿宋_GB2312" w:eastAsia="仿宋_GB2312"/>
          <w:snapToGrid w:val="0"/>
          <w:color w:val="000000"/>
          <w:kern w:val="0"/>
          <w:sz w:val="32"/>
          <w:szCs w:val="32"/>
        </w:rPr>
        <w:t>个减至</w:t>
      </w:r>
      <w:r>
        <w:rPr>
          <w:rFonts w:ascii="仿宋_GB2312" w:eastAsia="仿宋_GB2312"/>
          <w:snapToGrid w:val="0"/>
          <w:color w:val="000000"/>
          <w:kern w:val="0"/>
          <w:sz w:val="32"/>
          <w:szCs w:val="32"/>
        </w:rPr>
        <w:t>2020</w:t>
      </w:r>
      <w:r>
        <w:rPr>
          <w:rFonts w:hint="eastAsia" w:ascii="仿宋_GB2312" w:eastAsia="仿宋_GB2312"/>
          <w:snapToGrid w:val="0"/>
          <w:color w:val="000000"/>
          <w:kern w:val="0"/>
          <w:sz w:val="32"/>
          <w:szCs w:val="32"/>
        </w:rPr>
        <w:t>年的</w:t>
      </w:r>
      <w:r>
        <w:rPr>
          <w:rFonts w:ascii="仿宋_GB2312" w:eastAsia="仿宋_GB2312"/>
          <w:snapToGrid w:val="0"/>
          <w:color w:val="000000"/>
          <w:kern w:val="0"/>
          <w:sz w:val="32"/>
          <w:szCs w:val="32"/>
        </w:rPr>
        <w:t>19</w:t>
      </w:r>
      <w:r>
        <w:rPr>
          <w:rFonts w:hint="eastAsia" w:ascii="仿宋_GB2312" w:eastAsia="仿宋_GB2312"/>
          <w:snapToGrid w:val="0"/>
          <w:color w:val="000000"/>
          <w:kern w:val="0"/>
          <w:sz w:val="32"/>
          <w:szCs w:val="32"/>
        </w:rPr>
        <w:t>个。</w:t>
      </w:r>
    </w:p>
    <w:p>
      <w:pPr>
        <w:spacing w:line="560" w:lineRule="exact"/>
        <w:ind w:firstLine="640" w:firstLineChars="200"/>
        <w:rPr>
          <w:rFonts w:ascii="仿宋_GB2312" w:eastAsia="仿宋_GB2312"/>
          <w:snapToGrid w:val="0"/>
          <w:color w:val="000000"/>
          <w:kern w:val="0"/>
          <w:sz w:val="32"/>
          <w:szCs w:val="32"/>
        </w:rPr>
      </w:pPr>
      <w:r>
        <w:rPr>
          <w:rFonts w:hint="eastAsia" w:ascii="仿宋_GB2312" w:eastAsia="仿宋_GB2312"/>
          <w:snapToGrid w:val="0"/>
          <w:color w:val="000000"/>
          <w:kern w:val="0"/>
          <w:sz w:val="32"/>
          <w:szCs w:val="32"/>
        </w:rPr>
        <w:t>资源利用方式持续转变，技术研发推广取得良好成效，与</w:t>
      </w:r>
      <w:r>
        <w:rPr>
          <w:rFonts w:ascii="仿宋_GB2312" w:eastAsia="仿宋_GB2312"/>
          <w:snapToGrid w:val="0"/>
          <w:color w:val="000000"/>
          <w:kern w:val="0"/>
          <w:sz w:val="32"/>
          <w:szCs w:val="32"/>
        </w:rPr>
        <w:t>2015</w:t>
      </w:r>
      <w:r>
        <w:rPr>
          <w:rFonts w:hint="eastAsia" w:ascii="仿宋_GB2312" w:eastAsia="仿宋_GB2312"/>
          <w:snapToGrid w:val="0"/>
          <w:color w:val="000000"/>
          <w:kern w:val="0"/>
          <w:sz w:val="32"/>
          <w:szCs w:val="32"/>
        </w:rPr>
        <w:t>年相比煤炭的开采回采率由</w:t>
      </w:r>
      <w:r>
        <w:rPr>
          <w:rFonts w:ascii="仿宋_GB2312" w:eastAsia="仿宋_GB2312"/>
          <w:snapToGrid w:val="0"/>
          <w:color w:val="000000"/>
          <w:kern w:val="0"/>
          <w:sz w:val="32"/>
          <w:szCs w:val="32"/>
        </w:rPr>
        <w:t>88.49</w:t>
      </w:r>
      <w:r>
        <w:rPr>
          <w:rFonts w:hint="eastAsia" w:ascii="仿宋_GB2312" w:eastAsia="仿宋_GB2312"/>
          <w:snapToGrid w:val="0"/>
          <w:color w:val="000000"/>
          <w:kern w:val="0"/>
          <w:sz w:val="32"/>
          <w:szCs w:val="32"/>
        </w:rPr>
        <w:t>％提高到</w:t>
      </w:r>
      <w:r>
        <w:rPr>
          <w:rFonts w:ascii="仿宋_GB2312" w:eastAsia="仿宋_GB2312"/>
          <w:snapToGrid w:val="0"/>
          <w:color w:val="000000"/>
          <w:kern w:val="0"/>
          <w:sz w:val="32"/>
          <w:szCs w:val="32"/>
        </w:rPr>
        <w:t>89.91%</w:t>
      </w:r>
      <w:r>
        <w:rPr>
          <w:rFonts w:hint="eastAsia" w:ascii="仿宋_GB2312" w:eastAsia="仿宋_GB2312"/>
          <w:snapToGrid w:val="0"/>
          <w:color w:val="000000"/>
          <w:kern w:val="0"/>
          <w:sz w:val="32"/>
          <w:szCs w:val="32"/>
        </w:rPr>
        <w:t>，水泥用灰岩开采回采率由</w:t>
      </w:r>
      <w:r>
        <w:rPr>
          <w:rFonts w:ascii="仿宋_GB2312" w:eastAsia="仿宋_GB2312"/>
          <w:snapToGrid w:val="0"/>
          <w:color w:val="000000"/>
          <w:kern w:val="0"/>
          <w:sz w:val="32"/>
          <w:szCs w:val="32"/>
        </w:rPr>
        <w:t>98</w:t>
      </w:r>
      <w:r>
        <w:rPr>
          <w:rFonts w:hint="eastAsia" w:ascii="仿宋_GB2312" w:eastAsia="仿宋_GB2312"/>
          <w:snapToGrid w:val="0"/>
          <w:color w:val="000000"/>
          <w:kern w:val="0"/>
          <w:sz w:val="32"/>
          <w:szCs w:val="32"/>
        </w:rPr>
        <w:t>％提高到</w:t>
      </w:r>
      <w:r>
        <w:rPr>
          <w:rFonts w:ascii="仿宋_GB2312" w:eastAsia="仿宋_GB2312"/>
          <w:snapToGrid w:val="0"/>
          <w:color w:val="000000"/>
          <w:kern w:val="0"/>
          <w:sz w:val="32"/>
          <w:szCs w:val="32"/>
        </w:rPr>
        <w:t>98.7%</w:t>
      </w:r>
      <w:r>
        <w:rPr>
          <w:rFonts w:hint="eastAsia" w:ascii="仿宋_GB2312" w:eastAsia="仿宋_GB2312"/>
          <w:snapToGrid w:val="0"/>
          <w:color w:val="000000"/>
          <w:kern w:val="0"/>
          <w:sz w:val="32"/>
          <w:szCs w:val="32"/>
        </w:rPr>
        <w:t>。废石、尾矿等再利用成效显著，矿产资源集约节约与高效利用</w:t>
      </w:r>
      <w:bookmarkStart w:id="27" w:name="_Hlk67925718"/>
      <w:r>
        <w:rPr>
          <w:rFonts w:hint="eastAsia" w:ascii="仿宋_GB2312" w:eastAsia="仿宋_GB2312"/>
          <w:snapToGrid w:val="0"/>
          <w:color w:val="000000"/>
          <w:kern w:val="0"/>
          <w:sz w:val="32"/>
          <w:szCs w:val="32"/>
        </w:rPr>
        <w:t>水平持续提高</w:t>
      </w:r>
      <w:bookmarkEnd w:id="27"/>
      <w:r>
        <w:rPr>
          <w:rFonts w:hint="eastAsia" w:ascii="仿宋_GB2312" w:eastAsia="仿宋_GB2312"/>
          <w:snapToGrid w:val="0"/>
          <w:color w:val="000000"/>
          <w:kern w:val="0"/>
          <w:sz w:val="32"/>
          <w:szCs w:val="32"/>
        </w:rPr>
        <w:t>。</w:t>
      </w:r>
    </w:p>
    <w:p>
      <w:pPr>
        <w:spacing w:line="560" w:lineRule="exact"/>
        <w:ind w:firstLine="642" w:firstLineChars="200"/>
        <w:rPr>
          <w:rFonts w:ascii="仿宋_GB2312" w:eastAsia="仿宋_GB2312"/>
          <w:snapToGrid w:val="0"/>
          <w:color w:val="000000"/>
          <w:kern w:val="0"/>
          <w:sz w:val="32"/>
          <w:szCs w:val="32"/>
        </w:rPr>
      </w:pPr>
      <w:r>
        <w:rPr>
          <w:rFonts w:ascii="仿宋_GB2312" w:hAnsi="仿宋" w:eastAsia="仿宋_GB2312"/>
          <w:b/>
          <w:snapToGrid w:val="0"/>
          <w:color w:val="000000"/>
          <w:kern w:val="0"/>
          <w:sz w:val="32"/>
          <w:szCs w:val="32"/>
        </w:rPr>
        <w:t>3.</w:t>
      </w:r>
      <w:r>
        <w:rPr>
          <w:rFonts w:hint="eastAsia" w:ascii="仿宋_GB2312" w:hAnsi="仿宋" w:eastAsia="仿宋_GB2312"/>
          <w:b/>
          <w:snapToGrid w:val="0"/>
          <w:color w:val="000000"/>
          <w:kern w:val="0"/>
          <w:sz w:val="32"/>
          <w:szCs w:val="32"/>
        </w:rPr>
        <w:t>矿山地质环境治理恢复与绿色矿业发展成效显著。</w:t>
      </w:r>
      <w:r>
        <w:rPr>
          <w:rFonts w:hint="eastAsia" w:ascii="仿宋_GB2312" w:eastAsia="仿宋_GB2312"/>
          <w:snapToGrid w:val="0"/>
          <w:color w:val="000000"/>
          <w:kern w:val="0"/>
          <w:sz w:val="32"/>
          <w:szCs w:val="32"/>
        </w:rPr>
        <w:t>完成采煤塌陷治理面积</w:t>
      </w:r>
      <w:r>
        <w:rPr>
          <w:rFonts w:ascii="仿宋_GB2312" w:eastAsia="仿宋_GB2312"/>
          <w:snapToGrid w:val="0"/>
          <w:color w:val="000000"/>
          <w:kern w:val="0"/>
          <w:sz w:val="32"/>
          <w:szCs w:val="32"/>
        </w:rPr>
        <w:t>67892.29</w:t>
      </w:r>
      <w:r>
        <w:rPr>
          <w:rFonts w:hint="eastAsia" w:ascii="仿宋_GB2312" w:eastAsia="仿宋_GB2312"/>
          <w:snapToGrid w:val="0"/>
          <w:color w:val="000000"/>
          <w:kern w:val="0"/>
          <w:sz w:val="32"/>
          <w:szCs w:val="32"/>
        </w:rPr>
        <w:t>亩，破损山体治理项目</w:t>
      </w:r>
      <w:r>
        <w:rPr>
          <w:rFonts w:ascii="仿宋_GB2312" w:eastAsia="仿宋_GB2312"/>
          <w:snapToGrid w:val="0"/>
          <w:color w:val="000000"/>
          <w:kern w:val="0"/>
          <w:sz w:val="32"/>
          <w:szCs w:val="32"/>
        </w:rPr>
        <w:t>12</w:t>
      </w:r>
      <w:r>
        <w:rPr>
          <w:rFonts w:hint="eastAsia" w:ascii="仿宋_GB2312" w:eastAsia="仿宋_GB2312"/>
          <w:snapToGrid w:val="0"/>
          <w:color w:val="000000"/>
          <w:kern w:val="0"/>
          <w:sz w:val="32"/>
          <w:szCs w:val="32"/>
        </w:rPr>
        <w:t>个，矿山地质环境明显改善。绿色矿业发展示范区建设正在按照实施方案稳步推进。</w:t>
      </w:r>
    </w:p>
    <w:p>
      <w:pPr>
        <w:spacing w:line="560" w:lineRule="exact"/>
        <w:ind w:firstLine="642" w:firstLineChars="200"/>
        <w:rPr>
          <w:rFonts w:ascii="仿宋_GB2312" w:eastAsia="仿宋_GB2312"/>
          <w:snapToGrid w:val="0"/>
          <w:color w:val="000000"/>
          <w:kern w:val="0"/>
          <w:sz w:val="32"/>
          <w:szCs w:val="32"/>
        </w:rPr>
      </w:pPr>
      <w:r>
        <w:rPr>
          <w:rFonts w:ascii="仿宋_GB2312" w:hAnsi="仿宋" w:eastAsia="仿宋_GB2312"/>
          <w:b/>
          <w:snapToGrid w:val="0"/>
          <w:color w:val="000000"/>
          <w:kern w:val="0"/>
          <w:sz w:val="32"/>
          <w:szCs w:val="32"/>
        </w:rPr>
        <w:t>4.</w:t>
      </w:r>
      <w:r>
        <w:rPr>
          <w:rFonts w:hint="eastAsia" w:ascii="仿宋_GB2312" w:hAnsi="仿宋" w:eastAsia="仿宋_GB2312"/>
          <w:b/>
          <w:snapToGrid w:val="0"/>
          <w:color w:val="000000"/>
          <w:kern w:val="0"/>
          <w:sz w:val="32"/>
          <w:szCs w:val="32"/>
        </w:rPr>
        <w:t>存在问题。</w:t>
      </w:r>
      <w:r>
        <w:rPr>
          <w:rFonts w:hint="eastAsia" w:ascii="仿宋_GB2312" w:eastAsia="仿宋_GB2312"/>
          <w:snapToGrid w:val="0"/>
          <w:color w:val="000000"/>
          <w:kern w:val="0"/>
          <w:sz w:val="32"/>
          <w:szCs w:val="32"/>
        </w:rPr>
        <w:t>历史遗留的采煤塌陷区治理修复任务重，废弃矿山环境治理尚未完成，资金落实是困扰治理修复的关键性因素。城乡发展所需的大宗建筑材料矿产的开发与生态环境保护的矛盾交织。</w:t>
      </w:r>
    </w:p>
    <w:p>
      <w:pPr>
        <w:pStyle w:val="4"/>
        <w:keepNext w:val="0"/>
        <w:keepLines w:val="0"/>
        <w:spacing w:before="0" w:after="0" w:line="560" w:lineRule="exact"/>
        <w:ind w:firstLine="640" w:firstLineChars="200"/>
        <w:jc w:val="both"/>
        <w:rPr>
          <w:rFonts w:ascii="楷体_GB2312" w:hAnsi="仿宋" w:eastAsia="楷体_GB2312"/>
          <w:b w:val="0"/>
          <w:snapToGrid w:val="0"/>
          <w:color w:val="000000"/>
          <w:kern w:val="0"/>
          <w:sz w:val="32"/>
        </w:rPr>
      </w:pPr>
      <w:bookmarkStart w:id="28" w:name="_Toc185255921"/>
      <w:bookmarkStart w:id="29" w:name="_Toc18615"/>
      <w:bookmarkStart w:id="30" w:name="_Toc184977518"/>
      <w:bookmarkStart w:id="31" w:name="_Toc7816"/>
      <w:bookmarkStart w:id="32" w:name="_Toc47432969"/>
      <w:bookmarkStart w:id="33" w:name="_Toc8781"/>
      <w:bookmarkStart w:id="34" w:name="_Toc280"/>
      <w:bookmarkStart w:id="35" w:name="_Toc18543"/>
      <w:bookmarkStart w:id="36" w:name="_Toc133399298"/>
      <w:bookmarkStart w:id="37" w:name="_Toc7978"/>
      <w:bookmarkStart w:id="38" w:name="_Toc21671"/>
      <w:bookmarkStart w:id="39" w:name="_Toc68627370"/>
      <w:bookmarkStart w:id="40" w:name="_Toc176229615"/>
      <w:r>
        <w:rPr>
          <w:rFonts w:hint="eastAsia" w:ascii="楷体_GB2312" w:hAnsi="仿宋" w:eastAsia="楷体_GB2312"/>
          <w:b w:val="0"/>
          <w:snapToGrid w:val="0"/>
          <w:color w:val="000000"/>
          <w:kern w:val="0"/>
          <w:sz w:val="32"/>
        </w:rPr>
        <w:t>（四）面临形势</w:t>
      </w:r>
      <w:bookmarkEnd w:id="28"/>
      <w:bookmarkEnd w:id="29"/>
      <w:bookmarkEnd w:id="30"/>
      <w:bookmarkEnd w:id="31"/>
      <w:bookmarkEnd w:id="32"/>
      <w:bookmarkEnd w:id="33"/>
      <w:bookmarkEnd w:id="34"/>
      <w:bookmarkEnd w:id="35"/>
      <w:bookmarkEnd w:id="36"/>
      <w:bookmarkEnd w:id="37"/>
      <w:bookmarkEnd w:id="38"/>
      <w:bookmarkEnd w:id="39"/>
    </w:p>
    <w:p>
      <w:pPr>
        <w:spacing w:line="560" w:lineRule="exact"/>
        <w:ind w:firstLine="640" w:firstLineChars="200"/>
        <w:rPr>
          <w:rFonts w:ascii="仿宋_GB2312" w:eastAsia="仿宋_GB2312"/>
          <w:snapToGrid w:val="0"/>
          <w:color w:val="000000"/>
          <w:kern w:val="0"/>
          <w:sz w:val="32"/>
          <w:szCs w:val="32"/>
        </w:rPr>
      </w:pPr>
      <w:r>
        <w:rPr>
          <w:rFonts w:hint="eastAsia" w:ascii="仿宋_GB2312" w:eastAsia="仿宋_GB2312"/>
          <w:snapToGrid w:val="0"/>
          <w:color w:val="000000"/>
          <w:kern w:val="0"/>
          <w:sz w:val="32"/>
          <w:szCs w:val="32"/>
        </w:rPr>
        <w:t>“十四五”时期，滕州坚定践行新发展理念，落实高质量发展要求，统筹推进稳增长、促改革、调结构、惠民生、防风险，全市经济将呈现稳中有进、进中有变、变中趋优之发展态势，经济社会全面绿色转型，对矿业高质量发展提出了新要求。</w:t>
      </w:r>
    </w:p>
    <w:bookmarkEnd w:id="40"/>
    <w:p>
      <w:pPr>
        <w:spacing w:line="560" w:lineRule="exact"/>
        <w:ind w:firstLine="642" w:firstLineChars="200"/>
        <w:rPr>
          <w:rFonts w:ascii="仿宋_GB2312" w:eastAsia="仿宋_GB2312"/>
          <w:snapToGrid w:val="0"/>
          <w:color w:val="000000"/>
          <w:kern w:val="0"/>
          <w:sz w:val="32"/>
          <w:szCs w:val="32"/>
        </w:rPr>
      </w:pPr>
      <w:r>
        <w:rPr>
          <w:rFonts w:ascii="仿宋_GB2312" w:hAnsi="仿宋" w:eastAsia="仿宋_GB2312"/>
          <w:b/>
          <w:snapToGrid w:val="0"/>
          <w:color w:val="000000"/>
          <w:kern w:val="0"/>
          <w:sz w:val="32"/>
          <w:szCs w:val="32"/>
        </w:rPr>
        <w:t>1.</w:t>
      </w:r>
      <w:r>
        <w:rPr>
          <w:rFonts w:hint="eastAsia" w:ascii="仿宋_GB2312" w:hAnsi="仿宋" w:eastAsia="仿宋_GB2312"/>
          <w:b/>
          <w:snapToGrid w:val="0"/>
          <w:color w:val="000000"/>
          <w:kern w:val="0"/>
          <w:sz w:val="32"/>
          <w:szCs w:val="32"/>
        </w:rPr>
        <w:t>碳减排与煤炭支柱产业的矛盾相互交织。</w:t>
      </w:r>
      <w:r>
        <w:rPr>
          <w:rFonts w:hint="eastAsia" w:ascii="仿宋_GB2312" w:eastAsia="仿宋_GB2312"/>
          <w:snapToGrid w:val="0"/>
          <w:color w:val="000000"/>
          <w:kern w:val="0"/>
          <w:sz w:val="32"/>
          <w:szCs w:val="32"/>
        </w:rPr>
        <w:t>滕州矿业经济以煤炭开发利用为支柱，矿业总产值巨大，是经济社会发展的重要资金来源；而矿业水泥用石灰岩也是传统产业中碳排放较高的密集产业。实现碳中和既要严格控制煤、水泥灰岩高耗能企业新增产能，优化存量产能，又要依靠技术进步和创新驱动产业增长，大力发展新型绿色低碳经济，推进产业结构调整和升级，降低工业产业的能源消费和碳排放，逐步实现经济增长和碳排放的脱钩，这对滕州经济发展是重大考验。</w:t>
      </w:r>
    </w:p>
    <w:p>
      <w:pPr>
        <w:spacing w:line="560" w:lineRule="exact"/>
        <w:ind w:firstLine="642" w:firstLineChars="200"/>
        <w:rPr>
          <w:rFonts w:ascii="仿宋_GB2312" w:eastAsia="仿宋_GB2312"/>
          <w:snapToGrid w:val="0"/>
          <w:color w:val="000000"/>
          <w:kern w:val="0"/>
          <w:sz w:val="32"/>
          <w:szCs w:val="32"/>
        </w:rPr>
      </w:pPr>
      <w:r>
        <w:rPr>
          <w:rFonts w:ascii="仿宋_GB2312" w:hAnsi="仿宋" w:eastAsia="仿宋_GB2312"/>
          <w:b/>
          <w:snapToGrid w:val="0"/>
          <w:color w:val="000000"/>
          <w:kern w:val="0"/>
          <w:sz w:val="32"/>
          <w:szCs w:val="32"/>
        </w:rPr>
        <w:t>2.</w:t>
      </w:r>
      <w:bookmarkStart w:id="41" w:name="_Toc177891695"/>
      <w:r>
        <w:rPr>
          <w:rFonts w:hint="eastAsia" w:ascii="仿宋_GB2312" w:hAnsi="仿宋" w:eastAsia="仿宋_GB2312"/>
          <w:b/>
          <w:snapToGrid w:val="0"/>
          <w:color w:val="000000"/>
          <w:kern w:val="0"/>
          <w:sz w:val="32"/>
          <w:szCs w:val="32"/>
        </w:rPr>
        <w:t>提升矿产资源开发利用水平是高质量发展之要。</w:t>
      </w:r>
      <w:r>
        <w:rPr>
          <w:rFonts w:hint="eastAsia" w:ascii="仿宋_GB2312" w:eastAsia="仿宋_GB2312"/>
          <w:snapToGrid w:val="0"/>
          <w:color w:val="000000"/>
          <w:kern w:val="0"/>
          <w:sz w:val="32"/>
          <w:szCs w:val="32"/>
        </w:rPr>
        <w:t>高质量发展要求全面提升矿产资源开发利用水平和利用效率，转变资源开发利用方式，加快矿业结构调整和转型升级，提高</w:t>
      </w:r>
      <w:bookmarkStart w:id="42" w:name="_Hlk68020917"/>
      <w:r>
        <w:rPr>
          <w:rFonts w:hint="eastAsia" w:ascii="仿宋_GB2312" w:eastAsia="仿宋_GB2312"/>
          <w:snapToGrid w:val="0"/>
          <w:color w:val="000000"/>
          <w:kern w:val="0"/>
          <w:sz w:val="32"/>
          <w:szCs w:val="32"/>
        </w:rPr>
        <w:t>矿山</w:t>
      </w:r>
      <w:bookmarkEnd w:id="42"/>
      <w:r>
        <w:rPr>
          <w:rFonts w:hint="eastAsia" w:ascii="仿宋_GB2312" w:eastAsia="仿宋_GB2312"/>
          <w:snapToGrid w:val="0"/>
          <w:color w:val="000000"/>
          <w:kern w:val="0"/>
          <w:sz w:val="32"/>
          <w:szCs w:val="32"/>
        </w:rPr>
        <w:t>智能化水平，在“双循环”格局下，积极扩大经济供需内循环，以滕州区位优势，做好煤、建材面向国家、面向江皖的文章，按照“减量化、再利用、资源化”原则，加强节能减排，提升尾矿、废石等固体废弃物的有效处置与综合利用水平，延长产业链，加强产品高端化、精品化、差异化发展，是矿业可持续发展的必然要求。</w:t>
      </w:r>
    </w:p>
    <w:p>
      <w:pPr>
        <w:spacing w:line="560" w:lineRule="exact"/>
        <w:ind w:firstLine="642" w:firstLineChars="200"/>
        <w:rPr>
          <w:rFonts w:ascii="仿宋_GB2312" w:eastAsia="仿宋_GB2312"/>
          <w:snapToGrid w:val="0"/>
          <w:color w:val="000000"/>
          <w:kern w:val="0"/>
          <w:sz w:val="32"/>
          <w:szCs w:val="32"/>
        </w:rPr>
      </w:pPr>
      <w:r>
        <w:rPr>
          <w:rFonts w:ascii="仿宋_GB2312" w:hAnsi="仿宋" w:eastAsia="仿宋_GB2312"/>
          <w:b/>
          <w:snapToGrid w:val="0"/>
          <w:color w:val="000000"/>
          <w:kern w:val="0"/>
          <w:sz w:val="32"/>
          <w:szCs w:val="32"/>
        </w:rPr>
        <w:t>3.</w:t>
      </w:r>
      <w:r>
        <w:rPr>
          <w:rFonts w:hint="eastAsia" w:ascii="仿宋_GB2312" w:hAnsi="仿宋" w:eastAsia="仿宋_GB2312"/>
          <w:b/>
          <w:snapToGrid w:val="0"/>
          <w:color w:val="000000"/>
          <w:kern w:val="0"/>
          <w:sz w:val="32"/>
          <w:szCs w:val="32"/>
        </w:rPr>
        <w:t>矿业绿色发展提升到生态文明建设新高度。</w:t>
      </w:r>
      <w:r>
        <w:rPr>
          <w:rFonts w:hint="eastAsia" w:ascii="仿宋_GB2312" w:eastAsia="仿宋_GB2312"/>
          <w:snapToGrid w:val="0"/>
          <w:color w:val="000000"/>
          <w:kern w:val="0"/>
          <w:sz w:val="32"/>
          <w:szCs w:val="32"/>
        </w:rPr>
        <w:t>正确处理矿产资源开发利用与生态环境保护关系，解决历史遗留的矿山地质环境问题，推进绿色勘查和绿色矿山建设，发挥滕州绿色矿业发展示范区的引领作用。</w:t>
      </w:r>
    </w:p>
    <w:p>
      <w:pPr>
        <w:spacing w:line="560" w:lineRule="exact"/>
        <w:ind w:firstLine="642" w:firstLineChars="200"/>
        <w:rPr>
          <w:rFonts w:ascii="仿宋_GB2312" w:eastAsia="仿宋_GB2312"/>
          <w:snapToGrid w:val="0"/>
          <w:color w:val="000000"/>
          <w:kern w:val="0"/>
          <w:sz w:val="32"/>
          <w:szCs w:val="32"/>
        </w:rPr>
      </w:pPr>
      <w:r>
        <w:rPr>
          <w:rFonts w:ascii="仿宋_GB2312" w:hAnsi="仿宋" w:eastAsia="仿宋_GB2312"/>
          <w:b/>
          <w:snapToGrid w:val="0"/>
          <w:color w:val="000000"/>
          <w:kern w:val="0"/>
          <w:sz w:val="32"/>
          <w:szCs w:val="32"/>
        </w:rPr>
        <w:t>4.</w:t>
      </w:r>
      <w:r>
        <w:rPr>
          <w:rFonts w:hint="eastAsia" w:ascii="仿宋_GB2312" w:hAnsi="仿宋" w:eastAsia="仿宋_GB2312"/>
          <w:b/>
          <w:snapToGrid w:val="0"/>
          <w:color w:val="000000"/>
          <w:kern w:val="0"/>
          <w:sz w:val="32"/>
          <w:szCs w:val="32"/>
        </w:rPr>
        <w:t>高质量发展需进一步完善矿产资源管理体系。</w:t>
      </w:r>
      <w:r>
        <w:rPr>
          <w:rFonts w:hint="eastAsia" w:ascii="仿宋_GB2312" w:eastAsia="仿宋_GB2312"/>
          <w:snapToGrid w:val="0"/>
          <w:color w:val="000000"/>
          <w:kern w:val="0"/>
          <w:sz w:val="32"/>
          <w:szCs w:val="32"/>
        </w:rPr>
        <w:t>全面深化改革和加快矿产资源管理体制机制创新</w:t>
      </w:r>
      <w:bookmarkStart w:id="43" w:name="_Hlk59030341"/>
      <w:r>
        <w:rPr>
          <w:rFonts w:hint="eastAsia" w:ascii="仿宋_GB2312" w:eastAsia="仿宋_GB2312"/>
          <w:snapToGrid w:val="0"/>
          <w:color w:val="000000"/>
          <w:kern w:val="0"/>
          <w:sz w:val="32"/>
          <w:szCs w:val="32"/>
        </w:rPr>
        <w:t>，</w:t>
      </w:r>
      <w:bookmarkEnd w:id="43"/>
      <w:r>
        <w:rPr>
          <w:rFonts w:hint="eastAsia" w:ascii="仿宋_GB2312" w:eastAsia="仿宋_GB2312"/>
          <w:snapToGrid w:val="0"/>
          <w:color w:val="000000"/>
          <w:kern w:val="0"/>
          <w:sz w:val="32"/>
          <w:szCs w:val="32"/>
        </w:rPr>
        <w:t>立足效能提升，服务改革发展，提高矿产资源宏观管理能力和服务水平，实现矿产资源管理方式转变。</w:t>
      </w:r>
      <w:bookmarkEnd w:id="41"/>
      <w:bookmarkStart w:id="44" w:name="_Toc8158"/>
      <w:bookmarkStart w:id="45" w:name="_Toc4757"/>
      <w:bookmarkStart w:id="46" w:name="_Toc18203"/>
      <w:bookmarkStart w:id="47" w:name="_Toc21917"/>
      <w:bookmarkStart w:id="48" w:name="_Toc68627371"/>
      <w:bookmarkStart w:id="49" w:name="_Toc11569"/>
      <w:bookmarkStart w:id="50" w:name="_Toc26850"/>
      <w:bookmarkStart w:id="51" w:name="_Toc32146"/>
      <w:bookmarkStart w:id="52" w:name="_Toc133399299"/>
    </w:p>
    <w:p>
      <w:pPr>
        <w:pStyle w:val="3"/>
        <w:keepNext w:val="0"/>
        <w:keepLines w:val="0"/>
        <w:spacing w:before="0" w:after="0" w:line="560" w:lineRule="exact"/>
        <w:ind w:firstLine="640" w:firstLineChars="200"/>
        <w:jc w:val="both"/>
        <w:rPr>
          <w:rFonts w:hAnsi="仿宋" w:eastAsia="黑体"/>
          <w:b w:val="0"/>
          <w:snapToGrid w:val="0"/>
          <w:color w:val="000000"/>
          <w:kern w:val="0"/>
          <w:szCs w:val="32"/>
        </w:rPr>
      </w:pPr>
      <w:r>
        <w:rPr>
          <w:rFonts w:hint="eastAsia" w:hAnsi="仿宋" w:eastAsia="黑体"/>
          <w:b w:val="0"/>
          <w:snapToGrid w:val="0"/>
          <w:color w:val="000000"/>
          <w:kern w:val="0"/>
          <w:szCs w:val="32"/>
        </w:rPr>
        <w:t>二、指导思想和原则</w:t>
      </w:r>
      <w:bookmarkEnd w:id="44"/>
      <w:bookmarkEnd w:id="45"/>
      <w:bookmarkEnd w:id="46"/>
      <w:bookmarkEnd w:id="47"/>
      <w:bookmarkEnd w:id="48"/>
      <w:bookmarkEnd w:id="49"/>
      <w:bookmarkEnd w:id="50"/>
      <w:bookmarkEnd w:id="51"/>
      <w:bookmarkEnd w:id="52"/>
    </w:p>
    <w:p>
      <w:pPr>
        <w:pStyle w:val="4"/>
        <w:keepNext w:val="0"/>
        <w:keepLines w:val="0"/>
        <w:spacing w:before="0" w:after="0" w:line="560" w:lineRule="exact"/>
        <w:ind w:firstLine="640" w:firstLineChars="200"/>
        <w:jc w:val="both"/>
        <w:rPr>
          <w:rFonts w:ascii="楷体_GB2312" w:hAnsi="仿宋" w:eastAsia="楷体_GB2312"/>
          <w:b w:val="0"/>
          <w:snapToGrid w:val="0"/>
          <w:color w:val="000000"/>
          <w:kern w:val="0"/>
          <w:sz w:val="32"/>
        </w:rPr>
      </w:pPr>
      <w:bookmarkStart w:id="53" w:name="_Toc17761"/>
      <w:bookmarkStart w:id="54" w:name="_Toc16381"/>
      <w:bookmarkStart w:id="55" w:name="_Toc24834"/>
      <w:bookmarkStart w:id="56" w:name="_Toc68627372"/>
      <w:bookmarkStart w:id="57" w:name="_Toc3510"/>
      <w:bookmarkStart w:id="58" w:name="_Toc12948"/>
      <w:bookmarkStart w:id="59" w:name="_Toc185255925"/>
      <w:bookmarkStart w:id="60" w:name="_Toc2292"/>
      <w:bookmarkStart w:id="61" w:name="_Toc26477"/>
      <w:bookmarkStart w:id="62" w:name="_Toc184977522"/>
      <w:bookmarkStart w:id="63" w:name="_Toc133399300"/>
      <w:bookmarkStart w:id="64" w:name="_Toc226339551"/>
      <w:r>
        <w:rPr>
          <w:rFonts w:hint="eastAsia" w:ascii="楷体_GB2312" w:hAnsi="仿宋" w:eastAsia="楷体_GB2312"/>
          <w:b w:val="0"/>
          <w:snapToGrid w:val="0"/>
          <w:color w:val="000000"/>
          <w:kern w:val="0"/>
          <w:sz w:val="32"/>
        </w:rPr>
        <w:t>（一）指导思想</w:t>
      </w:r>
      <w:bookmarkEnd w:id="53"/>
      <w:bookmarkEnd w:id="54"/>
      <w:bookmarkEnd w:id="55"/>
      <w:bookmarkEnd w:id="56"/>
      <w:bookmarkEnd w:id="57"/>
      <w:bookmarkEnd w:id="58"/>
      <w:bookmarkEnd w:id="59"/>
      <w:bookmarkEnd w:id="60"/>
      <w:bookmarkEnd w:id="61"/>
      <w:bookmarkEnd w:id="62"/>
      <w:bookmarkEnd w:id="63"/>
      <w:bookmarkEnd w:id="64"/>
    </w:p>
    <w:p>
      <w:pPr>
        <w:spacing w:line="560" w:lineRule="exact"/>
        <w:ind w:firstLine="640" w:firstLineChars="200"/>
        <w:rPr>
          <w:rFonts w:ascii="仿宋_GB2312" w:eastAsia="仿宋_GB2312"/>
          <w:snapToGrid w:val="0"/>
          <w:color w:val="000000"/>
          <w:kern w:val="0"/>
          <w:sz w:val="32"/>
          <w:szCs w:val="32"/>
        </w:rPr>
      </w:pPr>
      <w:r>
        <w:rPr>
          <w:rFonts w:hint="eastAsia" w:ascii="仿宋_GB2312" w:eastAsia="仿宋_GB2312"/>
          <w:snapToGrid w:val="0"/>
          <w:color w:val="000000"/>
          <w:kern w:val="0"/>
          <w:sz w:val="32"/>
          <w:szCs w:val="32"/>
        </w:rPr>
        <w:t>以习近平新时代中国特色社会主义思想为指导，全面贯彻党的十九大和十九届历次全会及省委、省政府重大决策部署，贯彻绿色生态发展新理念，围绕新旧动能转换重大工程，深化矿产资源管理改革，优化矿产资源结构与布局，实施矿产资源绿色勘查、开发与综合利用，提高产业链建设的精准度，推进矿业绿色转型发展，重点聚焦矿业智能化、绿色化，实现矿业更高质量、更有效率、更可持续的发展。</w:t>
      </w:r>
    </w:p>
    <w:p>
      <w:pPr>
        <w:pStyle w:val="4"/>
        <w:keepNext w:val="0"/>
        <w:keepLines w:val="0"/>
        <w:spacing w:before="0" w:after="0" w:line="560" w:lineRule="exact"/>
        <w:ind w:firstLine="640" w:firstLineChars="200"/>
        <w:jc w:val="both"/>
        <w:rPr>
          <w:rFonts w:ascii="楷体_GB2312" w:hAnsi="仿宋" w:eastAsia="楷体_GB2312"/>
          <w:b w:val="0"/>
          <w:snapToGrid w:val="0"/>
          <w:color w:val="000000"/>
          <w:kern w:val="0"/>
          <w:sz w:val="32"/>
        </w:rPr>
      </w:pPr>
      <w:bookmarkStart w:id="65" w:name="_Toc23664"/>
      <w:bookmarkStart w:id="66" w:name="_Toc19846"/>
      <w:bookmarkStart w:id="67" w:name="_Toc12918"/>
      <w:bookmarkStart w:id="68" w:name="_Toc815"/>
      <w:bookmarkStart w:id="69" w:name="_Toc1053"/>
      <w:bookmarkStart w:id="70" w:name="_Toc184977523"/>
      <w:bookmarkStart w:id="71" w:name="_Toc226339552"/>
      <w:bookmarkStart w:id="72" w:name="_Toc133399301"/>
      <w:bookmarkStart w:id="73" w:name="_Toc15724"/>
      <w:bookmarkStart w:id="74" w:name="_Toc185255926"/>
      <w:bookmarkStart w:id="75" w:name="_Toc68627373"/>
      <w:bookmarkStart w:id="76" w:name="_Toc30081"/>
      <w:r>
        <w:rPr>
          <w:rFonts w:hint="eastAsia" w:ascii="楷体_GB2312" w:hAnsi="仿宋" w:eastAsia="楷体_GB2312"/>
          <w:b w:val="0"/>
          <w:snapToGrid w:val="0"/>
          <w:color w:val="000000"/>
          <w:kern w:val="0"/>
          <w:sz w:val="32"/>
        </w:rPr>
        <w:t>（二）基本原则</w:t>
      </w:r>
      <w:bookmarkEnd w:id="65"/>
      <w:bookmarkEnd w:id="66"/>
      <w:bookmarkEnd w:id="67"/>
      <w:bookmarkEnd w:id="68"/>
      <w:bookmarkEnd w:id="69"/>
      <w:bookmarkEnd w:id="70"/>
      <w:bookmarkEnd w:id="71"/>
      <w:bookmarkEnd w:id="72"/>
      <w:bookmarkEnd w:id="73"/>
      <w:bookmarkEnd w:id="74"/>
      <w:bookmarkEnd w:id="75"/>
      <w:bookmarkEnd w:id="76"/>
    </w:p>
    <w:p>
      <w:pPr>
        <w:spacing w:line="560" w:lineRule="exact"/>
        <w:ind w:firstLine="642" w:firstLineChars="200"/>
        <w:rPr>
          <w:rFonts w:ascii="仿宋_GB2312" w:eastAsia="仿宋_GB2312"/>
          <w:snapToGrid w:val="0"/>
          <w:color w:val="000000"/>
          <w:kern w:val="0"/>
          <w:sz w:val="32"/>
          <w:szCs w:val="32"/>
        </w:rPr>
      </w:pPr>
      <w:r>
        <w:rPr>
          <w:rFonts w:ascii="仿宋_GB2312" w:hAnsi="仿宋" w:eastAsia="仿宋_GB2312"/>
          <w:b/>
          <w:snapToGrid w:val="0"/>
          <w:color w:val="000000"/>
          <w:kern w:val="0"/>
          <w:sz w:val="32"/>
          <w:szCs w:val="32"/>
        </w:rPr>
        <w:t>1.</w:t>
      </w:r>
      <w:r>
        <w:rPr>
          <w:rFonts w:hint="eastAsia" w:ascii="仿宋_GB2312" w:hAnsi="仿宋" w:eastAsia="仿宋_GB2312"/>
          <w:b/>
          <w:snapToGrid w:val="0"/>
          <w:color w:val="000000"/>
          <w:kern w:val="0"/>
          <w:sz w:val="32"/>
          <w:szCs w:val="32"/>
        </w:rPr>
        <w:t>生态优先、绿色发展。</w:t>
      </w:r>
      <w:r>
        <w:rPr>
          <w:rFonts w:hint="eastAsia" w:ascii="仿宋_GB2312" w:eastAsia="仿宋_GB2312"/>
          <w:snapToGrid w:val="0"/>
          <w:color w:val="000000"/>
          <w:kern w:val="0"/>
          <w:sz w:val="32"/>
          <w:szCs w:val="32"/>
        </w:rPr>
        <w:t>以生态环境承载力为矿产资源开发底线，创新绿色矿业发展方式，发展绿色矿业和矿业循环经济，引领带动矿业转型升级和绿色发展。倡导绿色勘查开采，从源头上加强生态环境保护，实现资源开发利用与生态环境保护相协调。</w:t>
      </w:r>
    </w:p>
    <w:p>
      <w:pPr>
        <w:spacing w:line="560" w:lineRule="exact"/>
        <w:ind w:firstLine="642" w:firstLineChars="200"/>
        <w:rPr>
          <w:rFonts w:ascii="仿宋_GB2312" w:eastAsia="仿宋_GB2312"/>
          <w:snapToGrid w:val="0"/>
          <w:color w:val="000000"/>
          <w:kern w:val="0"/>
          <w:sz w:val="32"/>
          <w:szCs w:val="32"/>
        </w:rPr>
      </w:pPr>
      <w:r>
        <w:rPr>
          <w:rFonts w:ascii="仿宋_GB2312" w:hAnsi="仿宋" w:eastAsia="仿宋_GB2312"/>
          <w:b/>
          <w:snapToGrid w:val="0"/>
          <w:color w:val="000000"/>
          <w:kern w:val="0"/>
          <w:sz w:val="32"/>
          <w:szCs w:val="32"/>
        </w:rPr>
        <w:t>2.</w:t>
      </w:r>
      <w:r>
        <w:rPr>
          <w:rFonts w:hint="eastAsia" w:ascii="仿宋_GB2312" w:hAnsi="仿宋" w:eastAsia="仿宋_GB2312"/>
          <w:b/>
          <w:snapToGrid w:val="0"/>
          <w:color w:val="000000"/>
          <w:kern w:val="0"/>
          <w:sz w:val="32"/>
          <w:szCs w:val="32"/>
        </w:rPr>
        <w:t>布局优化、结构调整。</w:t>
      </w:r>
      <w:r>
        <w:rPr>
          <w:rFonts w:hint="eastAsia" w:ascii="仿宋_GB2312" w:eastAsia="仿宋_GB2312"/>
          <w:snapToGrid w:val="0"/>
          <w:color w:val="000000"/>
          <w:kern w:val="0"/>
          <w:sz w:val="32"/>
          <w:szCs w:val="32"/>
        </w:rPr>
        <w:t>严格落实省市级规划，统筹矿产资源勘查开发保护时空布局，突出重点区域、重点矿种，实行区域差别化、矿种差别化管理。优化矿山规模结构，转变资源开发利用方式，提升资源开发利用效率，坚持资源开发与环境承载力相匹配，形成有序的资源开发保护新格局。</w:t>
      </w:r>
    </w:p>
    <w:p>
      <w:pPr>
        <w:spacing w:line="560" w:lineRule="exact"/>
        <w:ind w:firstLine="642" w:firstLineChars="200"/>
        <w:rPr>
          <w:rFonts w:ascii="仿宋_GB2312" w:eastAsia="仿宋_GB2312"/>
          <w:snapToGrid w:val="0"/>
          <w:color w:val="000000"/>
          <w:kern w:val="0"/>
          <w:sz w:val="32"/>
          <w:szCs w:val="32"/>
        </w:rPr>
      </w:pPr>
      <w:r>
        <w:rPr>
          <w:rFonts w:ascii="仿宋_GB2312" w:hAnsi="仿宋" w:eastAsia="仿宋_GB2312"/>
          <w:b/>
          <w:snapToGrid w:val="0"/>
          <w:color w:val="000000"/>
          <w:kern w:val="0"/>
          <w:sz w:val="32"/>
          <w:szCs w:val="32"/>
        </w:rPr>
        <w:t>3.</w:t>
      </w:r>
      <w:r>
        <w:rPr>
          <w:rFonts w:hint="eastAsia" w:ascii="仿宋_GB2312" w:hAnsi="仿宋" w:eastAsia="仿宋_GB2312"/>
          <w:b/>
          <w:snapToGrid w:val="0"/>
          <w:color w:val="000000"/>
          <w:kern w:val="0"/>
          <w:sz w:val="32"/>
          <w:szCs w:val="32"/>
        </w:rPr>
        <w:t>科技创新，系统发展。</w:t>
      </w:r>
      <w:r>
        <w:rPr>
          <w:rFonts w:hint="eastAsia" w:ascii="仿宋_GB2312" w:eastAsia="仿宋_GB2312"/>
          <w:snapToGrid w:val="0"/>
          <w:color w:val="000000"/>
          <w:kern w:val="0"/>
          <w:sz w:val="32"/>
          <w:szCs w:val="32"/>
        </w:rPr>
        <w:t>坚持科技兴矿，科技管矿，全局谋划，整体推进。推进智慧矿山建设，优化矿产资源信息化管理，完善矿产资源产业链、供应链。提升矿产资源服务保障水平，促进矿业的持续发展。</w:t>
      </w:r>
    </w:p>
    <w:p>
      <w:pPr>
        <w:spacing w:line="560" w:lineRule="exact"/>
        <w:ind w:firstLine="642" w:firstLineChars="200"/>
        <w:rPr>
          <w:rFonts w:ascii="仿宋_GB2312" w:eastAsia="仿宋_GB2312"/>
          <w:snapToGrid w:val="0"/>
          <w:color w:val="000000"/>
          <w:kern w:val="0"/>
          <w:sz w:val="32"/>
          <w:szCs w:val="32"/>
        </w:rPr>
      </w:pPr>
      <w:r>
        <w:rPr>
          <w:rFonts w:ascii="仿宋_GB2312" w:hAnsi="仿宋" w:eastAsia="仿宋_GB2312"/>
          <w:b/>
          <w:snapToGrid w:val="0"/>
          <w:color w:val="000000"/>
          <w:kern w:val="0"/>
          <w:sz w:val="32"/>
          <w:szCs w:val="32"/>
        </w:rPr>
        <w:t>4.</w:t>
      </w:r>
      <w:r>
        <w:rPr>
          <w:rFonts w:hint="eastAsia" w:ascii="仿宋_GB2312" w:hAnsi="仿宋" w:eastAsia="仿宋_GB2312"/>
          <w:b/>
          <w:snapToGrid w:val="0"/>
          <w:color w:val="000000"/>
          <w:kern w:val="0"/>
          <w:sz w:val="32"/>
          <w:szCs w:val="32"/>
        </w:rPr>
        <w:t>市场配置、公平竞争。</w:t>
      </w:r>
      <w:r>
        <w:rPr>
          <w:rFonts w:hint="eastAsia" w:ascii="仿宋_GB2312" w:eastAsia="仿宋_GB2312"/>
          <w:snapToGrid w:val="0"/>
          <w:color w:val="000000"/>
          <w:kern w:val="0"/>
          <w:sz w:val="32"/>
          <w:szCs w:val="32"/>
        </w:rPr>
        <w:t>充分发挥市场在资源配置中的决定性作用，全面推行矿业权竞争性出让，激发市场主体活力，准确掌握矿产资源供需形势，培育公平高效规范的矿业权市场，确保市场配置与管理改革相衔接。</w:t>
      </w:r>
    </w:p>
    <w:p>
      <w:pPr>
        <w:pStyle w:val="4"/>
        <w:keepNext w:val="0"/>
        <w:keepLines w:val="0"/>
        <w:spacing w:before="0" w:after="0" w:line="560" w:lineRule="exact"/>
        <w:ind w:firstLine="640" w:firstLineChars="200"/>
        <w:jc w:val="both"/>
        <w:rPr>
          <w:rFonts w:ascii="楷体_GB2312" w:hAnsi="仿宋" w:eastAsia="楷体_GB2312"/>
          <w:b w:val="0"/>
          <w:snapToGrid w:val="0"/>
          <w:color w:val="000000"/>
          <w:kern w:val="0"/>
          <w:sz w:val="32"/>
        </w:rPr>
      </w:pPr>
      <w:bookmarkStart w:id="77" w:name="_Toc133399302"/>
      <w:r>
        <w:rPr>
          <w:rFonts w:hint="eastAsia" w:ascii="楷体_GB2312" w:hAnsi="仿宋" w:eastAsia="楷体_GB2312"/>
          <w:b w:val="0"/>
          <w:snapToGrid w:val="0"/>
          <w:color w:val="000000"/>
          <w:kern w:val="0"/>
          <w:sz w:val="32"/>
        </w:rPr>
        <w:t>（三）规划目标</w:t>
      </w:r>
      <w:bookmarkEnd w:id="77"/>
    </w:p>
    <w:p>
      <w:pPr>
        <w:spacing w:line="560" w:lineRule="exact"/>
        <w:ind w:firstLine="642" w:firstLineChars="200"/>
        <w:rPr>
          <w:rFonts w:ascii="仿宋_GB2312" w:eastAsia="仿宋_GB2312"/>
          <w:snapToGrid w:val="0"/>
          <w:color w:val="000000"/>
          <w:kern w:val="0"/>
          <w:sz w:val="32"/>
          <w:szCs w:val="32"/>
        </w:rPr>
      </w:pPr>
      <w:r>
        <w:rPr>
          <w:rFonts w:ascii="仿宋_GB2312" w:hAnsi="仿宋" w:eastAsia="仿宋_GB2312"/>
          <w:b/>
          <w:snapToGrid w:val="0"/>
          <w:color w:val="000000"/>
          <w:kern w:val="0"/>
          <w:sz w:val="32"/>
          <w:szCs w:val="32"/>
        </w:rPr>
        <w:t>1.2025</w:t>
      </w:r>
      <w:r>
        <w:rPr>
          <w:rFonts w:hint="eastAsia" w:ascii="仿宋_GB2312" w:hAnsi="仿宋" w:eastAsia="仿宋_GB2312"/>
          <w:b/>
          <w:snapToGrid w:val="0"/>
          <w:color w:val="000000"/>
          <w:kern w:val="0"/>
          <w:sz w:val="32"/>
          <w:szCs w:val="32"/>
        </w:rPr>
        <w:t>年目标。</w:t>
      </w:r>
      <w:bookmarkStart w:id="78" w:name="OLE_LINK16"/>
      <w:r>
        <w:rPr>
          <w:rFonts w:hint="eastAsia" w:ascii="仿宋_GB2312" w:eastAsia="仿宋_GB2312"/>
          <w:snapToGrid w:val="0"/>
          <w:color w:val="000000"/>
          <w:kern w:val="0"/>
          <w:sz w:val="32"/>
          <w:szCs w:val="32"/>
        </w:rPr>
        <w:t>落实上级规划安排部署在滕州市的</w:t>
      </w:r>
      <w:bookmarkStart w:id="79" w:name="OLE_LINK26"/>
      <w:r>
        <w:rPr>
          <w:rFonts w:hint="eastAsia" w:ascii="仿宋_GB2312" w:eastAsia="仿宋_GB2312"/>
          <w:snapToGrid w:val="0"/>
          <w:color w:val="000000"/>
          <w:kern w:val="0"/>
          <w:sz w:val="32"/>
          <w:szCs w:val="32"/>
        </w:rPr>
        <w:t>地质矿产调查与矿产勘查项目，做好项目监管工作。</w:t>
      </w:r>
      <w:bookmarkEnd w:id="78"/>
      <w:bookmarkEnd w:id="79"/>
      <w:r>
        <w:rPr>
          <w:rFonts w:hint="eastAsia" w:ascii="仿宋_GB2312" w:eastAsia="仿宋_GB2312"/>
          <w:snapToGrid w:val="0"/>
          <w:color w:val="000000"/>
          <w:kern w:val="0"/>
          <w:sz w:val="32"/>
          <w:szCs w:val="32"/>
        </w:rPr>
        <w:t>矿产资源开发绿色化、规模化、集约化、智能化水平大幅提高，至</w:t>
      </w:r>
      <w:r>
        <w:rPr>
          <w:rFonts w:ascii="仿宋_GB2312" w:eastAsia="仿宋_GB2312"/>
          <w:snapToGrid w:val="0"/>
          <w:color w:val="000000"/>
          <w:kern w:val="0"/>
          <w:sz w:val="32"/>
          <w:szCs w:val="32"/>
        </w:rPr>
        <w:t>2025</w:t>
      </w:r>
      <w:r>
        <w:rPr>
          <w:rFonts w:hint="eastAsia" w:ascii="仿宋_GB2312" w:eastAsia="仿宋_GB2312"/>
          <w:snapToGrid w:val="0"/>
          <w:color w:val="000000"/>
          <w:kern w:val="0"/>
          <w:sz w:val="32"/>
          <w:szCs w:val="32"/>
        </w:rPr>
        <w:t>年，矿山数量控制</w:t>
      </w:r>
      <w:r>
        <w:rPr>
          <w:rFonts w:ascii="仿宋_GB2312" w:eastAsia="仿宋_GB2312"/>
          <w:snapToGrid w:val="0"/>
          <w:color w:val="000000"/>
          <w:kern w:val="0"/>
          <w:sz w:val="32"/>
          <w:szCs w:val="32"/>
        </w:rPr>
        <w:t>17</w:t>
      </w:r>
      <w:r>
        <w:rPr>
          <w:rFonts w:hint="eastAsia" w:ascii="仿宋_GB2312" w:eastAsia="仿宋_GB2312"/>
          <w:snapToGrid w:val="0"/>
          <w:color w:val="000000"/>
          <w:kern w:val="0"/>
          <w:sz w:val="32"/>
          <w:szCs w:val="32"/>
        </w:rPr>
        <w:t>家，大中型矿山的比例不低于</w:t>
      </w:r>
      <w:r>
        <w:rPr>
          <w:rFonts w:ascii="仿宋_GB2312" w:eastAsia="仿宋_GB2312"/>
          <w:snapToGrid w:val="0"/>
          <w:color w:val="000000"/>
          <w:kern w:val="0"/>
          <w:sz w:val="32"/>
          <w:szCs w:val="32"/>
        </w:rPr>
        <w:t>90%</w:t>
      </w:r>
      <w:r>
        <w:rPr>
          <w:rFonts w:hint="eastAsia" w:ascii="仿宋_GB2312" w:eastAsia="仿宋_GB2312"/>
          <w:snapToGrid w:val="0"/>
          <w:color w:val="000000"/>
          <w:kern w:val="0"/>
          <w:sz w:val="32"/>
          <w:szCs w:val="32"/>
        </w:rPr>
        <w:t>。矿产资源开发总量约</w:t>
      </w:r>
      <w:r>
        <w:rPr>
          <w:rFonts w:ascii="仿宋_GB2312" w:eastAsia="仿宋_GB2312"/>
          <w:snapToGrid w:val="0"/>
          <w:color w:val="000000"/>
          <w:kern w:val="0"/>
          <w:sz w:val="32"/>
          <w:szCs w:val="32"/>
        </w:rPr>
        <w:t>2800</w:t>
      </w:r>
      <w:r>
        <w:rPr>
          <w:rFonts w:hint="eastAsia" w:ascii="仿宋_GB2312" w:eastAsia="仿宋_GB2312"/>
          <w:snapToGrid w:val="0"/>
          <w:color w:val="000000"/>
          <w:kern w:val="0"/>
          <w:sz w:val="32"/>
          <w:szCs w:val="32"/>
        </w:rPr>
        <w:t>万吨左右，其中煤炭</w:t>
      </w:r>
      <w:r>
        <w:rPr>
          <w:rFonts w:ascii="仿宋_GB2312" w:eastAsia="仿宋_GB2312"/>
          <w:snapToGrid w:val="0"/>
          <w:color w:val="000000"/>
          <w:kern w:val="0"/>
          <w:sz w:val="32"/>
          <w:szCs w:val="32"/>
        </w:rPr>
        <w:t>1300</w:t>
      </w:r>
      <w:r>
        <w:rPr>
          <w:rFonts w:hint="eastAsia" w:ascii="仿宋_GB2312" w:eastAsia="仿宋_GB2312"/>
          <w:snapToGrid w:val="0"/>
          <w:color w:val="000000"/>
          <w:kern w:val="0"/>
          <w:sz w:val="32"/>
          <w:szCs w:val="32"/>
        </w:rPr>
        <w:t>万吨左右，水泥用灰岩</w:t>
      </w:r>
      <w:r>
        <w:rPr>
          <w:rFonts w:ascii="仿宋_GB2312" w:eastAsia="仿宋_GB2312"/>
          <w:snapToGrid w:val="0"/>
          <w:color w:val="000000"/>
          <w:kern w:val="0"/>
          <w:sz w:val="32"/>
          <w:szCs w:val="32"/>
        </w:rPr>
        <w:t>600</w:t>
      </w:r>
      <w:r>
        <w:rPr>
          <w:rFonts w:hint="eastAsia" w:ascii="仿宋_GB2312" w:eastAsia="仿宋_GB2312"/>
          <w:snapToGrid w:val="0"/>
          <w:color w:val="000000"/>
          <w:kern w:val="0"/>
          <w:sz w:val="32"/>
          <w:szCs w:val="32"/>
        </w:rPr>
        <w:t>万吨左右，建筑石料用灰岩</w:t>
      </w:r>
      <w:r>
        <w:rPr>
          <w:rFonts w:ascii="仿宋_GB2312" w:eastAsia="仿宋_GB2312"/>
          <w:snapToGrid w:val="0"/>
          <w:color w:val="000000"/>
          <w:kern w:val="0"/>
          <w:sz w:val="32"/>
          <w:szCs w:val="32"/>
        </w:rPr>
        <w:t>900</w:t>
      </w:r>
      <w:r>
        <w:rPr>
          <w:rFonts w:hint="eastAsia" w:ascii="仿宋_GB2312" w:eastAsia="仿宋_GB2312"/>
          <w:snapToGrid w:val="0"/>
          <w:color w:val="000000"/>
          <w:kern w:val="0"/>
          <w:sz w:val="32"/>
          <w:szCs w:val="32"/>
        </w:rPr>
        <w:t>万吨左右。</w:t>
      </w:r>
      <w:bookmarkStart w:id="80" w:name="OLE_LINK24"/>
      <w:r>
        <w:rPr>
          <w:rFonts w:hint="eastAsia" w:ascii="仿宋_GB2312" w:eastAsia="仿宋_GB2312"/>
          <w:snapToGrid w:val="0"/>
          <w:color w:val="000000"/>
          <w:kern w:val="0"/>
          <w:sz w:val="32"/>
          <w:szCs w:val="32"/>
        </w:rPr>
        <w:t>绿色矿业发展示范区</w:t>
      </w:r>
      <w:bookmarkEnd w:id="80"/>
      <w:r>
        <w:rPr>
          <w:rFonts w:hint="eastAsia" w:ascii="仿宋_GB2312" w:eastAsia="仿宋_GB2312"/>
          <w:snapToGrid w:val="0"/>
          <w:color w:val="000000"/>
          <w:kern w:val="0"/>
          <w:sz w:val="32"/>
          <w:szCs w:val="32"/>
        </w:rPr>
        <w:t>全面建成，2025年新建矿山全部达到绿色矿山建设要求，</w:t>
      </w:r>
      <w:bookmarkStart w:id="81" w:name="OLE_LINK17"/>
      <w:r>
        <w:rPr>
          <w:rFonts w:hint="eastAsia" w:ascii="仿宋_GB2312" w:eastAsia="仿宋_GB2312"/>
          <w:snapToGrid w:val="0"/>
          <w:color w:val="000000"/>
          <w:kern w:val="0"/>
          <w:sz w:val="32"/>
          <w:szCs w:val="32"/>
        </w:rPr>
        <w:t>矿山地质环境</w:t>
      </w:r>
      <w:bookmarkEnd w:id="81"/>
      <w:r>
        <w:rPr>
          <w:rFonts w:hint="eastAsia" w:ascii="仿宋_GB2312" w:eastAsia="仿宋_GB2312"/>
          <w:snapToGrid w:val="0"/>
          <w:color w:val="000000"/>
          <w:kern w:val="0"/>
          <w:sz w:val="32"/>
          <w:szCs w:val="32"/>
        </w:rPr>
        <w:t>历史遗留问题基本修复治理，绿色矿业发展格局基本形成。</w:t>
      </w:r>
    </w:p>
    <w:p>
      <w:pPr>
        <w:spacing w:line="560" w:lineRule="exact"/>
        <w:ind w:firstLine="642" w:firstLineChars="200"/>
        <w:rPr>
          <w:rFonts w:ascii="仿宋_GB2312" w:eastAsia="仿宋_GB2312"/>
          <w:snapToGrid w:val="0"/>
          <w:color w:val="000000"/>
          <w:kern w:val="0"/>
          <w:sz w:val="32"/>
          <w:szCs w:val="32"/>
        </w:rPr>
      </w:pPr>
      <w:r>
        <w:rPr>
          <w:rFonts w:ascii="仿宋_GB2312" w:hAnsi="仿宋" w:eastAsia="仿宋_GB2312"/>
          <w:b/>
          <w:snapToGrid w:val="0"/>
          <w:color w:val="000000"/>
          <w:kern w:val="0"/>
          <w:sz w:val="32"/>
          <w:szCs w:val="32"/>
        </w:rPr>
        <w:t>2.2035</w:t>
      </w:r>
      <w:r>
        <w:rPr>
          <w:rFonts w:hint="eastAsia" w:ascii="仿宋_GB2312" w:hAnsi="仿宋" w:eastAsia="仿宋_GB2312"/>
          <w:b/>
          <w:snapToGrid w:val="0"/>
          <w:color w:val="000000"/>
          <w:kern w:val="0"/>
          <w:sz w:val="32"/>
          <w:szCs w:val="32"/>
        </w:rPr>
        <w:t>年展望目标。</w:t>
      </w:r>
      <w:r>
        <w:rPr>
          <w:rFonts w:hint="eastAsia" w:ascii="仿宋_GB2312" w:eastAsia="仿宋_GB2312"/>
          <w:snapToGrid w:val="0"/>
          <w:color w:val="000000"/>
          <w:kern w:val="0"/>
          <w:sz w:val="32"/>
          <w:szCs w:val="32"/>
        </w:rPr>
        <w:t>展望</w:t>
      </w:r>
      <w:r>
        <w:rPr>
          <w:rFonts w:ascii="仿宋_GB2312" w:eastAsia="仿宋_GB2312"/>
          <w:snapToGrid w:val="0"/>
          <w:color w:val="000000"/>
          <w:kern w:val="0"/>
          <w:sz w:val="32"/>
          <w:szCs w:val="32"/>
        </w:rPr>
        <w:t>2035</w:t>
      </w:r>
      <w:r>
        <w:rPr>
          <w:rFonts w:hint="eastAsia" w:ascii="仿宋_GB2312" w:eastAsia="仿宋_GB2312"/>
          <w:snapToGrid w:val="0"/>
          <w:color w:val="000000"/>
          <w:kern w:val="0"/>
          <w:sz w:val="32"/>
          <w:szCs w:val="32"/>
        </w:rPr>
        <w:t>年，矿产资源深加工将支撑经济社会发展推动力，科技进步促进矿业开发规模集聚效应，洁净煤生产、煤变气、非金属开发产业链延长、高附加值产品如泉之源，矿业高质量发展与经济社会发展协调一致。绿色矿业发展新格局全面形成，矿产资源管理更趋完善，建立起绿色、安全、创新、协调的矿产资源保障体系。</w:t>
      </w:r>
      <w:bookmarkStart w:id="82" w:name="_Toc133399303"/>
    </w:p>
    <w:p>
      <w:pPr>
        <w:spacing w:line="560" w:lineRule="exact"/>
        <w:ind w:firstLine="640" w:firstLineChars="200"/>
        <w:rPr>
          <w:rFonts w:hAnsi="仿宋" w:eastAsia="黑体"/>
          <w:snapToGrid w:val="0"/>
          <w:color w:val="000000"/>
          <w:kern w:val="0"/>
          <w:sz w:val="32"/>
          <w:szCs w:val="32"/>
        </w:rPr>
      </w:pPr>
      <w:r>
        <w:rPr>
          <w:rFonts w:hint="eastAsia" w:hAnsi="仿宋" w:eastAsia="黑体"/>
          <w:snapToGrid w:val="0"/>
          <w:color w:val="000000"/>
          <w:kern w:val="0"/>
          <w:sz w:val="32"/>
          <w:szCs w:val="32"/>
        </w:rPr>
        <w:t>三、矿产勘查开发与保护布局</w:t>
      </w:r>
      <w:bookmarkEnd w:id="82"/>
    </w:p>
    <w:p>
      <w:pPr>
        <w:spacing w:line="560" w:lineRule="exact"/>
        <w:ind w:firstLine="640" w:firstLineChars="200"/>
        <w:rPr>
          <w:rFonts w:ascii="仿宋_GB2312" w:eastAsia="仿宋_GB2312"/>
          <w:snapToGrid w:val="0"/>
          <w:color w:val="000000"/>
          <w:kern w:val="0"/>
          <w:sz w:val="32"/>
          <w:szCs w:val="32"/>
        </w:rPr>
      </w:pPr>
      <w:r>
        <w:rPr>
          <w:rFonts w:hint="eastAsia" w:ascii="仿宋_GB2312" w:eastAsia="仿宋_GB2312"/>
          <w:snapToGrid w:val="0"/>
          <w:color w:val="000000"/>
          <w:kern w:val="0"/>
          <w:sz w:val="32"/>
          <w:szCs w:val="32"/>
        </w:rPr>
        <w:t>落实国家和省南四湖流域生态保护和高质量发展战略，围绕鲁南三大经济圈区域一体化协同发展战略，服务于新旧动能转换重大工程建设，强化矿产资源对经济社会发展的基础支撑作用，保障矿产资源有效供给。根据成矿地质条件、资源分布特点，统筹全市矿产资源勘查开发与保护，优化勘查开发区域布局，促进资源产业基地、规划矿区、重点勘查开采区建设。</w:t>
      </w:r>
    </w:p>
    <w:p>
      <w:pPr>
        <w:pStyle w:val="4"/>
        <w:keepNext w:val="0"/>
        <w:keepLines w:val="0"/>
        <w:spacing w:before="0" w:after="0" w:line="560" w:lineRule="exact"/>
        <w:ind w:firstLine="640" w:firstLineChars="200"/>
        <w:jc w:val="both"/>
        <w:rPr>
          <w:rFonts w:ascii="楷体_GB2312" w:hAnsi="仿宋" w:eastAsia="楷体_GB2312"/>
          <w:b w:val="0"/>
          <w:snapToGrid w:val="0"/>
          <w:color w:val="000000"/>
          <w:kern w:val="0"/>
          <w:sz w:val="32"/>
        </w:rPr>
      </w:pPr>
      <w:bookmarkStart w:id="83" w:name="_Toc133399304"/>
      <w:r>
        <w:rPr>
          <w:rFonts w:hint="eastAsia" w:ascii="楷体_GB2312" w:hAnsi="仿宋" w:eastAsia="楷体_GB2312"/>
          <w:b w:val="0"/>
          <w:snapToGrid w:val="0"/>
          <w:color w:val="000000"/>
          <w:kern w:val="0"/>
          <w:sz w:val="32"/>
        </w:rPr>
        <w:t>（一</w:t>
      </w:r>
      <w:bookmarkStart w:id="84" w:name="OLE_LINK57"/>
      <w:r>
        <w:rPr>
          <w:rFonts w:hint="eastAsia" w:ascii="楷体_GB2312" w:hAnsi="仿宋" w:eastAsia="楷体_GB2312"/>
          <w:b w:val="0"/>
          <w:snapToGrid w:val="0"/>
          <w:color w:val="000000"/>
          <w:kern w:val="0"/>
          <w:sz w:val="32"/>
        </w:rPr>
        <w:t>）矿产资源勘查开采调控方向</w:t>
      </w:r>
      <w:bookmarkEnd w:id="83"/>
    </w:p>
    <w:bookmarkEnd w:id="84"/>
    <w:p>
      <w:pPr>
        <w:spacing w:line="560" w:lineRule="exact"/>
        <w:ind w:firstLine="640" w:firstLineChars="200"/>
        <w:rPr>
          <w:rFonts w:ascii="仿宋_GB2312" w:eastAsia="仿宋_GB2312"/>
          <w:snapToGrid w:val="0"/>
          <w:color w:val="000000"/>
          <w:kern w:val="0"/>
          <w:sz w:val="32"/>
          <w:szCs w:val="32"/>
        </w:rPr>
      </w:pPr>
      <w:bookmarkStart w:id="85" w:name="_Toc28549"/>
      <w:bookmarkStart w:id="86" w:name="_Toc28303"/>
      <w:bookmarkStart w:id="87" w:name="_Toc72513729"/>
      <w:bookmarkStart w:id="88" w:name="_Toc52597147"/>
      <w:bookmarkStart w:id="89" w:name="_Toc296496478"/>
      <w:bookmarkStart w:id="90" w:name="_Toc52597382"/>
      <w:bookmarkStart w:id="91" w:name="_Toc296496297"/>
      <w:bookmarkStart w:id="92" w:name="_Toc186615087"/>
      <w:bookmarkStart w:id="93" w:name="_Toc12527"/>
      <w:bookmarkStart w:id="94" w:name="_Toc13708"/>
      <w:bookmarkStart w:id="95" w:name="_Toc54428888"/>
      <w:bookmarkStart w:id="96" w:name="_Toc7606"/>
      <w:r>
        <w:rPr>
          <w:rFonts w:hint="eastAsia" w:ascii="仿宋_GB2312" w:eastAsia="仿宋_GB2312"/>
          <w:snapToGrid w:val="0"/>
          <w:color w:val="000000"/>
          <w:kern w:val="0"/>
          <w:sz w:val="32"/>
          <w:szCs w:val="32"/>
        </w:rPr>
        <w:t>落实国家能源资源发展战略，结合滕州市实际，确定重点、限制、禁止勘查开采矿种。</w:t>
      </w:r>
    </w:p>
    <w:p>
      <w:pPr>
        <w:spacing w:line="560" w:lineRule="exact"/>
        <w:ind w:firstLine="642" w:firstLineChars="200"/>
        <w:rPr>
          <w:rFonts w:ascii="仿宋_GB2312" w:eastAsia="仿宋_GB2312"/>
          <w:snapToGrid w:val="0"/>
          <w:color w:val="000000"/>
          <w:kern w:val="0"/>
          <w:sz w:val="32"/>
          <w:szCs w:val="32"/>
        </w:rPr>
      </w:pPr>
      <w:r>
        <w:rPr>
          <w:rFonts w:hint="eastAsia" w:ascii="仿宋_GB2312" w:eastAsia="仿宋_GB2312"/>
          <w:b/>
          <w:bCs/>
          <w:snapToGrid w:val="0"/>
          <w:color w:val="000000"/>
          <w:kern w:val="0"/>
          <w:sz w:val="32"/>
          <w:szCs w:val="32"/>
        </w:rPr>
        <w:t>重点勘查矿种：</w:t>
      </w:r>
      <w:r>
        <w:rPr>
          <w:rFonts w:hint="eastAsia" w:ascii="仿宋_GB2312" w:eastAsia="仿宋_GB2312"/>
          <w:snapToGrid w:val="0"/>
          <w:color w:val="000000"/>
          <w:kern w:val="0"/>
          <w:sz w:val="32"/>
          <w:szCs w:val="32"/>
        </w:rPr>
        <w:t>地热、冶金（熔剂）用白云岩。</w:t>
      </w:r>
    </w:p>
    <w:p>
      <w:pPr>
        <w:spacing w:line="560" w:lineRule="exact"/>
        <w:ind w:firstLine="642" w:firstLineChars="200"/>
        <w:rPr>
          <w:rFonts w:ascii="仿宋_GB2312" w:eastAsia="仿宋_GB2312"/>
          <w:snapToGrid w:val="0"/>
          <w:color w:val="000000"/>
          <w:kern w:val="0"/>
          <w:sz w:val="32"/>
          <w:szCs w:val="32"/>
        </w:rPr>
      </w:pPr>
      <w:r>
        <w:rPr>
          <w:rFonts w:hint="eastAsia" w:ascii="仿宋_GB2312" w:eastAsia="仿宋_GB2312"/>
          <w:b/>
          <w:bCs/>
          <w:snapToGrid w:val="0"/>
          <w:color w:val="000000"/>
          <w:kern w:val="0"/>
          <w:sz w:val="32"/>
          <w:szCs w:val="32"/>
        </w:rPr>
        <w:t>重点开采矿种：</w:t>
      </w:r>
      <w:r>
        <w:rPr>
          <w:rFonts w:hint="eastAsia" w:ascii="仿宋_GB2312" w:eastAsia="仿宋_GB2312"/>
          <w:snapToGrid w:val="0"/>
          <w:color w:val="000000"/>
          <w:kern w:val="0"/>
          <w:sz w:val="32"/>
          <w:szCs w:val="32"/>
        </w:rPr>
        <w:t>煤矿、建筑石料用灰岩。</w:t>
      </w:r>
    </w:p>
    <w:p>
      <w:pPr>
        <w:spacing w:line="560" w:lineRule="exact"/>
        <w:ind w:firstLine="640" w:firstLineChars="200"/>
        <w:rPr>
          <w:rFonts w:ascii="仿宋_GB2312" w:eastAsia="仿宋_GB2312"/>
          <w:snapToGrid w:val="0"/>
          <w:color w:val="000000"/>
          <w:kern w:val="0"/>
          <w:sz w:val="32"/>
          <w:szCs w:val="32"/>
        </w:rPr>
      </w:pPr>
      <w:r>
        <w:rPr>
          <w:rFonts w:hint="eastAsia" w:ascii="仿宋_GB2312" w:eastAsia="仿宋_GB2312"/>
          <w:snapToGrid w:val="0"/>
          <w:color w:val="000000"/>
          <w:kern w:val="0"/>
          <w:sz w:val="32"/>
          <w:szCs w:val="32"/>
        </w:rPr>
        <w:t>重点勘查的矿种，加强财政资金投入，提供更多基础地质资源信息，优先探矿权投放，鼓励社会资本投入勘查。重点开采矿种，优化资源配置，推动资源的规模化、集约化开发，严格按照规划区块设置投放采矿权，加强矿山日常监管，切实保护生态环境。严格规范矿业权人准入条件，提升勘查开采质量和水平。</w:t>
      </w:r>
    </w:p>
    <w:p>
      <w:pPr>
        <w:spacing w:line="560" w:lineRule="exact"/>
        <w:ind w:firstLine="642" w:firstLineChars="200"/>
        <w:rPr>
          <w:rFonts w:ascii="仿宋_GB2312" w:eastAsia="仿宋_GB2312"/>
          <w:snapToGrid w:val="0"/>
          <w:color w:val="000000"/>
          <w:kern w:val="0"/>
          <w:sz w:val="32"/>
          <w:szCs w:val="32"/>
        </w:rPr>
      </w:pPr>
      <w:r>
        <w:rPr>
          <w:rFonts w:hint="eastAsia" w:ascii="仿宋_GB2312" w:eastAsia="仿宋_GB2312"/>
          <w:b/>
          <w:bCs/>
          <w:snapToGrid w:val="0"/>
          <w:color w:val="000000"/>
          <w:kern w:val="0"/>
          <w:sz w:val="32"/>
          <w:szCs w:val="32"/>
        </w:rPr>
        <w:t>限制勘查开采矿种：</w:t>
      </w:r>
      <w:bookmarkStart w:id="97" w:name="_Hlk93484462"/>
      <w:r>
        <w:rPr>
          <w:rFonts w:hint="eastAsia" w:ascii="仿宋_GB2312" w:eastAsia="仿宋_GB2312"/>
          <w:snapToGrid w:val="0"/>
          <w:color w:val="000000"/>
          <w:kern w:val="0"/>
          <w:sz w:val="32"/>
          <w:szCs w:val="32"/>
        </w:rPr>
        <w:t>水泥用灰岩</w:t>
      </w:r>
      <w:bookmarkEnd w:id="97"/>
      <w:r>
        <w:rPr>
          <w:rFonts w:hint="eastAsia" w:ascii="仿宋_GB2312" w:eastAsia="仿宋_GB2312"/>
          <w:snapToGrid w:val="0"/>
          <w:color w:val="000000"/>
          <w:kern w:val="0"/>
          <w:sz w:val="32"/>
          <w:szCs w:val="32"/>
        </w:rPr>
        <w:t>。</w:t>
      </w:r>
    </w:p>
    <w:p>
      <w:pPr>
        <w:spacing w:line="560" w:lineRule="exact"/>
        <w:ind w:firstLine="640" w:firstLineChars="200"/>
        <w:rPr>
          <w:rFonts w:ascii="仿宋_GB2312" w:eastAsia="仿宋_GB2312"/>
          <w:snapToGrid w:val="0"/>
          <w:color w:val="000000"/>
          <w:kern w:val="0"/>
          <w:sz w:val="32"/>
          <w:szCs w:val="32"/>
        </w:rPr>
      </w:pPr>
      <w:r>
        <w:rPr>
          <w:rFonts w:hint="eastAsia" w:ascii="仿宋_GB2312" w:eastAsia="仿宋_GB2312"/>
          <w:snapToGrid w:val="0"/>
          <w:color w:val="000000"/>
          <w:kern w:val="0"/>
          <w:sz w:val="32"/>
          <w:szCs w:val="32"/>
        </w:rPr>
        <w:t>限制勘查开采矿种，除严格矿业权人准入条件外，依据资源供需形势，对其开采总量进行调控，同时严格日常监管，保护生态环境。</w:t>
      </w:r>
    </w:p>
    <w:p>
      <w:pPr>
        <w:spacing w:line="560" w:lineRule="exact"/>
        <w:ind w:firstLine="642" w:firstLineChars="200"/>
        <w:rPr>
          <w:rFonts w:ascii="仿宋_GB2312" w:eastAsia="仿宋_GB2312"/>
          <w:snapToGrid w:val="0"/>
          <w:color w:val="000000"/>
          <w:kern w:val="0"/>
          <w:sz w:val="32"/>
          <w:szCs w:val="32"/>
        </w:rPr>
      </w:pPr>
      <w:r>
        <w:rPr>
          <w:rFonts w:hint="eastAsia" w:ascii="仿宋_GB2312" w:eastAsia="仿宋_GB2312"/>
          <w:b/>
          <w:bCs/>
          <w:snapToGrid w:val="0"/>
          <w:color w:val="000000"/>
          <w:kern w:val="0"/>
          <w:sz w:val="32"/>
          <w:szCs w:val="32"/>
        </w:rPr>
        <w:t>禁止勘查开采矿种：</w:t>
      </w:r>
      <w:r>
        <w:rPr>
          <w:rFonts w:hint="eastAsia" w:ascii="仿宋_GB2312" w:eastAsia="仿宋_GB2312"/>
          <w:snapToGrid w:val="0"/>
          <w:color w:val="000000"/>
          <w:kern w:val="0"/>
          <w:sz w:val="32"/>
          <w:szCs w:val="32"/>
        </w:rPr>
        <w:t>河砂等。</w:t>
      </w:r>
    </w:p>
    <w:bookmarkEnd w:id="85"/>
    <w:bookmarkEnd w:id="86"/>
    <w:bookmarkEnd w:id="87"/>
    <w:bookmarkEnd w:id="88"/>
    <w:bookmarkEnd w:id="89"/>
    <w:bookmarkEnd w:id="90"/>
    <w:bookmarkEnd w:id="91"/>
    <w:bookmarkEnd w:id="92"/>
    <w:bookmarkEnd w:id="93"/>
    <w:bookmarkEnd w:id="94"/>
    <w:bookmarkEnd w:id="95"/>
    <w:bookmarkEnd w:id="96"/>
    <w:p>
      <w:pPr>
        <w:pStyle w:val="4"/>
        <w:keepNext w:val="0"/>
        <w:keepLines w:val="0"/>
        <w:spacing w:before="0" w:after="0" w:line="560" w:lineRule="exact"/>
        <w:ind w:firstLine="640" w:firstLineChars="200"/>
        <w:jc w:val="both"/>
        <w:rPr>
          <w:rFonts w:ascii="楷体_GB2312" w:hAnsi="仿宋" w:eastAsia="楷体_GB2312"/>
          <w:b w:val="0"/>
          <w:snapToGrid w:val="0"/>
          <w:color w:val="000000"/>
          <w:kern w:val="0"/>
          <w:sz w:val="32"/>
        </w:rPr>
      </w:pPr>
      <w:bookmarkStart w:id="98" w:name="_Toc133399305"/>
      <w:bookmarkStart w:id="99" w:name="OLE_LINK40"/>
      <w:bookmarkStart w:id="100" w:name="OLE_LINK41"/>
      <w:r>
        <w:rPr>
          <w:rFonts w:hint="eastAsia" w:ascii="楷体_GB2312" w:hAnsi="仿宋" w:eastAsia="楷体_GB2312"/>
          <w:b w:val="0"/>
          <w:snapToGrid w:val="0"/>
          <w:color w:val="000000"/>
          <w:kern w:val="0"/>
          <w:sz w:val="32"/>
        </w:rPr>
        <w:t>（二）矿产资源产业重点发展区域</w:t>
      </w:r>
      <w:bookmarkEnd w:id="98"/>
    </w:p>
    <w:bookmarkEnd w:id="99"/>
    <w:bookmarkEnd w:id="100"/>
    <w:p>
      <w:pPr>
        <w:spacing w:line="560" w:lineRule="exact"/>
        <w:ind w:firstLine="640" w:firstLineChars="200"/>
        <w:rPr>
          <w:rFonts w:ascii="仿宋_GB2312" w:eastAsia="仿宋_GB2312"/>
          <w:snapToGrid w:val="0"/>
          <w:color w:val="000000"/>
          <w:kern w:val="0"/>
          <w:sz w:val="32"/>
          <w:szCs w:val="32"/>
        </w:rPr>
      </w:pPr>
      <w:r>
        <w:rPr>
          <w:rFonts w:hint="eastAsia" w:ascii="仿宋_GB2312" w:eastAsia="仿宋_GB2312"/>
          <w:snapToGrid w:val="0"/>
          <w:color w:val="000000"/>
          <w:kern w:val="0"/>
          <w:sz w:val="32"/>
          <w:szCs w:val="32"/>
        </w:rPr>
        <w:t>根据本市矿产资源分布特点和产业布局，以矿产资源为基础，依靠科技进步和技术创新，做好煤炭和建材产业，形成功能明确、资源配置合理、集约高效利用的区域矿业布局。</w:t>
      </w:r>
    </w:p>
    <w:p>
      <w:pPr>
        <w:spacing w:line="560" w:lineRule="exact"/>
        <w:ind w:firstLine="642" w:firstLineChars="200"/>
        <w:rPr>
          <w:rFonts w:ascii="仿宋_GB2312" w:eastAsia="仿宋_GB2312"/>
          <w:snapToGrid w:val="0"/>
          <w:color w:val="000000"/>
          <w:kern w:val="0"/>
          <w:sz w:val="32"/>
          <w:szCs w:val="32"/>
        </w:rPr>
      </w:pPr>
      <w:r>
        <w:rPr>
          <w:rFonts w:ascii="仿宋_GB2312" w:hAnsi="仿宋" w:eastAsia="仿宋_GB2312"/>
          <w:b/>
          <w:snapToGrid w:val="0"/>
          <w:color w:val="000000"/>
          <w:kern w:val="0"/>
          <w:sz w:val="32"/>
          <w:szCs w:val="32"/>
        </w:rPr>
        <w:t>1.</w:t>
      </w:r>
      <w:r>
        <w:rPr>
          <w:rFonts w:hint="eastAsia" w:ascii="仿宋_GB2312" w:hAnsi="仿宋" w:eastAsia="仿宋_GB2312"/>
          <w:b/>
          <w:snapToGrid w:val="0"/>
          <w:color w:val="000000"/>
          <w:kern w:val="0"/>
          <w:sz w:val="32"/>
          <w:szCs w:val="32"/>
        </w:rPr>
        <w:t>煤炭资源产业区。</w:t>
      </w:r>
      <w:r>
        <w:rPr>
          <w:rFonts w:hint="eastAsia" w:ascii="仿宋_GB2312" w:eastAsia="仿宋_GB2312"/>
          <w:snapToGrid w:val="0"/>
          <w:color w:val="000000"/>
          <w:kern w:val="0"/>
          <w:sz w:val="32"/>
          <w:szCs w:val="32"/>
        </w:rPr>
        <w:t>分布范围为西部滕州煤田，依托资源优势，有多家煤电及煤化工企业，区位和经济优势明显。</w:t>
      </w:r>
    </w:p>
    <w:p>
      <w:pPr>
        <w:spacing w:line="560" w:lineRule="exact"/>
        <w:ind w:firstLine="640" w:firstLineChars="200"/>
        <w:rPr>
          <w:rFonts w:ascii="仿宋_GB2312" w:eastAsia="仿宋_GB2312"/>
          <w:snapToGrid w:val="0"/>
          <w:color w:val="000000"/>
          <w:kern w:val="0"/>
          <w:sz w:val="32"/>
          <w:szCs w:val="32"/>
        </w:rPr>
      </w:pPr>
      <w:r>
        <w:rPr>
          <w:rFonts w:hint="eastAsia" w:ascii="仿宋_GB2312" w:eastAsia="仿宋_GB2312"/>
          <w:snapToGrid w:val="0"/>
          <w:color w:val="000000"/>
          <w:kern w:val="0"/>
          <w:sz w:val="32"/>
          <w:szCs w:val="32"/>
        </w:rPr>
        <w:t>优化生产布局，调整产业结构，着力延伸煤炭工业产业链，提高经济效益和资源利用率，实现减煤增效。</w:t>
      </w:r>
    </w:p>
    <w:p>
      <w:pPr>
        <w:spacing w:line="560" w:lineRule="exact"/>
        <w:ind w:firstLine="640" w:firstLineChars="200"/>
        <w:rPr>
          <w:rFonts w:ascii="仿宋_GB2312" w:eastAsia="仿宋_GB2312"/>
          <w:snapToGrid w:val="0"/>
          <w:color w:val="000000"/>
          <w:kern w:val="0"/>
          <w:sz w:val="32"/>
          <w:szCs w:val="32"/>
        </w:rPr>
      </w:pPr>
      <w:r>
        <w:rPr>
          <w:rFonts w:hint="eastAsia" w:ascii="仿宋_GB2312" w:eastAsia="仿宋_GB2312"/>
          <w:snapToGrid w:val="0"/>
          <w:color w:val="000000"/>
          <w:kern w:val="0"/>
          <w:sz w:val="32"/>
          <w:szCs w:val="32"/>
        </w:rPr>
        <w:t>调整单一的以原矿为主的矿产品结构，形成煤、气、电、新能源和可再生能源多轮驱动的能源生产体系，以煤气化、煤焦化为主攻方向，以煤电二次能源转化为重点，按照节能减排的要求，推行煤炭脱硫、洁净煤技术，积极开展节能技术创新。以高品质煤炭深加工提高附加值，深化洁净煤生产，发展煤气化、煤化工产业，形成规模化煤化工基地。</w:t>
      </w:r>
    </w:p>
    <w:p>
      <w:pPr>
        <w:spacing w:line="560" w:lineRule="exact"/>
        <w:ind w:firstLine="642" w:firstLineChars="200"/>
        <w:rPr>
          <w:rFonts w:ascii="仿宋_GB2312" w:eastAsia="仿宋_GB2312"/>
          <w:snapToGrid w:val="0"/>
          <w:color w:val="000000"/>
          <w:kern w:val="0"/>
          <w:sz w:val="32"/>
          <w:szCs w:val="32"/>
        </w:rPr>
      </w:pPr>
      <w:r>
        <w:rPr>
          <w:rFonts w:ascii="仿宋_GB2312" w:hAnsi="仿宋" w:eastAsia="仿宋_GB2312"/>
          <w:b/>
          <w:snapToGrid w:val="0"/>
          <w:color w:val="000000"/>
          <w:kern w:val="0"/>
          <w:sz w:val="32"/>
          <w:szCs w:val="32"/>
        </w:rPr>
        <w:t>2.</w:t>
      </w:r>
      <w:r>
        <w:rPr>
          <w:rFonts w:hint="eastAsia" w:ascii="仿宋_GB2312" w:hAnsi="仿宋" w:eastAsia="仿宋_GB2312"/>
          <w:b/>
          <w:snapToGrid w:val="0"/>
          <w:color w:val="000000"/>
          <w:kern w:val="0"/>
          <w:sz w:val="32"/>
          <w:szCs w:val="32"/>
        </w:rPr>
        <w:t>建材资源产业区。</w:t>
      </w:r>
      <w:r>
        <w:rPr>
          <w:rFonts w:hint="eastAsia" w:ascii="仿宋_GB2312" w:eastAsia="仿宋_GB2312"/>
          <w:snapToGrid w:val="0"/>
          <w:color w:val="000000"/>
          <w:kern w:val="0"/>
          <w:sz w:val="32"/>
          <w:szCs w:val="32"/>
        </w:rPr>
        <w:t>滕州东（北）部水泥用灰岩矿和建筑石料灰岩矿是重要的建材生产基地，充分发挥建材资源优势，采用新技术、新工艺改造老企业，进一步提高技术装备和生产水平，按集团化、基地化要求扩大重点企业经济规模，突出发展高强度特种水泥和建材资源的产业链建设。</w:t>
      </w:r>
    </w:p>
    <w:p>
      <w:pPr>
        <w:spacing w:line="560" w:lineRule="exact"/>
        <w:ind w:firstLine="640" w:firstLineChars="200"/>
        <w:rPr>
          <w:rFonts w:ascii="仿宋_GB2312" w:eastAsia="仿宋_GB2312"/>
          <w:snapToGrid w:val="0"/>
          <w:color w:val="000000"/>
          <w:kern w:val="0"/>
          <w:sz w:val="32"/>
          <w:szCs w:val="32"/>
        </w:rPr>
      </w:pPr>
      <w:r>
        <w:rPr>
          <w:rFonts w:hint="eastAsia" w:ascii="仿宋_GB2312" w:eastAsia="仿宋_GB2312"/>
          <w:snapToGrid w:val="0"/>
          <w:color w:val="000000"/>
          <w:kern w:val="0"/>
          <w:sz w:val="32"/>
          <w:szCs w:val="32"/>
        </w:rPr>
        <w:t>建设以水泥—绿色建材—装配式建筑一体化为主业的大型专业建材加工、生产、展销基地。</w:t>
      </w:r>
    </w:p>
    <w:p>
      <w:pPr>
        <w:spacing w:line="560" w:lineRule="exact"/>
        <w:ind w:firstLine="640" w:firstLineChars="200"/>
        <w:rPr>
          <w:rFonts w:ascii="仿宋_GB2312" w:eastAsia="仿宋_GB2312"/>
          <w:snapToGrid w:val="0"/>
          <w:color w:val="000000"/>
          <w:kern w:val="0"/>
          <w:sz w:val="32"/>
          <w:szCs w:val="32"/>
        </w:rPr>
      </w:pPr>
      <w:bookmarkStart w:id="101" w:name="_Toc93586691"/>
      <w:r>
        <w:rPr>
          <w:rFonts w:hint="eastAsia" w:ascii="仿宋_GB2312" w:eastAsia="仿宋_GB2312"/>
          <w:snapToGrid w:val="0"/>
          <w:color w:val="000000"/>
          <w:kern w:val="0"/>
          <w:sz w:val="32"/>
          <w:szCs w:val="32"/>
        </w:rPr>
        <w:t>鼓励企业加大技术研发投入力度，以科技创新为手段，利用高新技术改造传统矿业产业，推广先进生产工艺，推进矿业转型升级。建立健全保护地质环境和地貌景观的长效机制，全面推动绿色矿业发展。</w:t>
      </w:r>
      <w:bookmarkEnd w:id="101"/>
    </w:p>
    <w:p>
      <w:pPr>
        <w:pStyle w:val="4"/>
        <w:keepNext w:val="0"/>
        <w:keepLines w:val="0"/>
        <w:spacing w:before="0" w:after="0" w:line="560" w:lineRule="exact"/>
        <w:ind w:firstLine="640" w:firstLineChars="200"/>
        <w:jc w:val="both"/>
        <w:rPr>
          <w:rFonts w:ascii="楷体_GB2312" w:hAnsi="仿宋" w:eastAsia="楷体_GB2312"/>
          <w:b w:val="0"/>
          <w:snapToGrid w:val="0"/>
          <w:color w:val="000000"/>
          <w:kern w:val="0"/>
          <w:sz w:val="32"/>
        </w:rPr>
      </w:pPr>
      <w:bookmarkStart w:id="102" w:name="_Toc133399306"/>
      <w:r>
        <w:rPr>
          <w:rFonts w:hint="eastAsia" w:ascii="楷体_GB2312" w:hAnsi="仿宋" w:eastAsia="楷体_GB2312"/>
          <w:b w:val="0"/>
          <w:snapToGrid w:val="0"/>
          <w:color w:val="000000"/>
          <w:kern w:val="0"/>
          <w:sz w:val="32"/>
        </w:rPr>
        <w:t>（三）勘查开采与保护布局</w:t>
      </w:r>
      <w:bookmarkEnd w:id="102"/>
    </w:p>
    <w:p>
      <w:pPr>
        <w:spacing w:line="560" w:lineRule="exact"/>
        <w:ind w:firstLine="640" w:firstLineChars="200"/>
        <w:rPr>
          <w:rFonts w:ascii="仿宋_GB2312" w:eastAsia="仿宋_GB2312"/>
          <w:snapToGrid w:val="0"/>
          <w:color w:val="000000"/>
          <w:kern w:val="0"/>
          <w:sz w:val="32"/>
          <w:szCs w:val="32"/>
        </w:rPr>
      </w:pPr>
      <w:bookmarkStart w:id="103" w:name="OLE_LINK43"/>
      <w:r>
        <w:rPr>
          <w:rFonts w:hint="eastAsia" w:ascii="仿宋_GB2312" w:eastAsia="仿宋_GB2312"/>
          <w:snapToGrid w:val="0"/>
          <w:color w:val="000000"/>
          <w:kern w:val="0"/>
          <w:sz w:val="32"/>
          <w:szCs w:val="32"/>
        </w:rPr>
        <w:t>落实省、市规划确定的重点、限制、禁止勘查开采矿种，科学布局和合理划定市级审批发证的开采规划区块，按照“整合利用、采治结合”的原则，优化布局，科学划定重点开采区，明确区内采矿权投放总量、最低开采规模、矿区生态保护等要求，推进矿山集约化、规模化、规范化、绿色化和效益最大化。</w:t>
      </w:r>
    </w:p>
    <w:p>
      <w:pPr>
        <w:spacing w:line="560" w:lineRule="exact"/>
        <w:ind w:firstLine="642" w:firstLineChars="200"/>
        <w:rPr>
          <w:rFonts w:ascii="仿宋_GB2312" w:hAnsi="仿宋" w:eastAsia="仿宋_GB2312"/>
          <w:b/>
          <w:snapToGrid w:val="0"/>
          <w:color w:val="000000"/>
          <w:kern w:val="0"/>
          <w:sz w:val="32"/>
          <w:szCs w:val="32"/>
        </w:rPr>
      </w:pPr>
      <w:r>
        <w:rPr>
          <w:rFonts w:ascii="仿宋_GB2312" w:hAnsi="仿宋" w:eastAsia="仿宋_GB2312"/>
          <w:b/>
          <w:snapToGrid w:val="0"/>
          <w:color w:val="000000"/>
          <w:kern w:val="0"/>
          <w:sz w:val="32"/>
          <w:szCs w:val="32"/>
        </w:rPr>
        <w:t>1.</w:t>
      </w:r>
      <w:r>
        <w:rPr>
          <w:rFonts w:hint="eastAsia" w:ascii="仿宋_GB2312" w:hAnsi="仿宋" w:eastAsia="仿宋_GB2312"/>
          <w:b/>
          <w:snapToGrid w:val="0"/>
          <w:color w:val="000000"/>
          <w:kern w:val="0"/>
          <w:sz w:val="32"/>
          <w:szCs w:val="32"/>
        </w:rPr>
        <w:t>规划分区管理</w:t>
      </w:r>
    </w:p>
    <w:p>
      <w:pPr>
        <w:spacing w:line="560" w:lineRule="exact"/>
        <w:ind w:firstLine="640" w:firstLineChars="200"/>
        <w:rPr>
          <w:rFonts w:ascii="仿宋_GB2312" w:eastAsia="仿宋_GB2312"/>
          <w:snapToGrid w:val="0"/>
          <w:color w:val="000000"/>
          <w:kern w:val="0"/>
          <w:sz w:val="32"/>
          <w:szCs w:val="32"/>
        </w:rPr>
      </w:pPr>
      <w:r>
        <w:rPr>
          <w:rFonts w:hint="eastAsia" w:ascii="仿宋_GB2312" w:eastAsia="仿宋_GB2312"/>
          <w:snapToGrid w:val="0"/>
          <w:color w:val="000000"/>
          <w:kern w:val="0"/>
          <w:sz w:val="32"/>
          <w:szCs w:val="32"/>
        </w:rPr>
        <w:t>滕州市无能源资源基地和国家规划矿区。</w:t>
      </w:r>
    </w:p>
    <w:p>
      <w:pPr>
        <w:spacing w:line="560" w:lineRule="exact"/>
        <w:ind w:firstLine="642" w:firstLineChars="200"/>
        <w:rPr>
          <w:rFonts w:ascii="仿宋_GB2312" w:eastAsia="仿宋_GB2312"/>
          <w:b/>
          <w:snapToGrid w:val="0"/>
          <w:color w:val="000000"/>
          <w:kern w:val="0"/>
          <w:sz w:val="32"/>
          <w:szCs w:val="32"/>
        </w:rPr>
      </w:pPr>
      <w:r>
        <w:rPr>
          <w:rFonts w:hint="eastAsia" w:ascii="仿宋_GB2312" w:eastAsia="仿宋_GB2312"/>
          <w:b/>
          <w:snapToGrid w:val="0"/>
          <w:color w:val="000000"/>
          <w:kern w:val="0"/>
          <w:sz w:val="32"/>
          <w:szCs w:val="32"/>
        </w:rPr>
        <w:t>（</w:t>
      </w:r>
      <w:r>
        <w:rPr>
          <w:rFonts w:ascii="仿宋_GB2312" w:eastAsia="仿宋_GB2312"/>
          <w:b/>
          <w:snapToGrid w:val="0"/>
          <w:color w:val="000000"/>
          <w:kern w:val="0"/>
          <w:sz w:val="32"/>
          <w:szCs w:val="32"/>
        </w:rPr>
        <w:t>1</w:t>
      </w:r>
      <w:r>
        <w:rPr>
          <w:rFonts w:hint="eastAsia" w:ascii="仿宋_GB2312" w:eastAsia="仿宋_GB2312"/>
          <w:b/>
          <w:snapToGrid w:val="0"/>
          <w:color w:val="000000"/>
          <w:kern w:val="0"/>
          <w:sz w:val="32"/>
          <w:szCs w:val="32"/>
        </w:rPr>
        <w:t>）重点勘查区</w:t>
      </w:r>
    </w:p>
    <w:p>
      <w:pPr>
        <w:spacing w:line="560" w:lineRule="exact"/>
        <w:ind w:firstLine="640" w:firstLineChars="200"/>
        <w:rPr>
          <w:rFonts w:ascii="仿宋_GB2312" w:eastAsia="仿宋_GB2312"/>
          <w:snapToGrid w:val="0"/>
          <w:color w:val="000000"/>
          <w:kern w:val="0"/>
          <w:sz w:val="32"/>
          <w:szCs w:val="32"/>
        </w:rPr>
      </w:pPr>
      <w:r>
        <w:rPr>
          <w:rFonts w:hint="eastAsia" w:ascii="仿宋_GB2312" w:eastAsia="仿宋_GB2312"/>
          <w:snapToGrid w:val="0"/>
          <w:color w:val="000000"/>
          <w:kern w:val="0"/>
          <w:sz w:val="32"/>
          <w:szCs w:val="32"/>
        </w:rPr>
        <w:t>落实市规划重点勘查区</w:t>
      </w:r>
      <w:r>
        <w:rPr>
          <w:rFonts w:ascii="仿宋_GB2312" w:eastAsia="仿宋_GB2312"/>
          <w:snapToGrid w:val="0"/>
          <w:color w:val="000000"/>
          <w:kern w:val="0"/>
          <w:sz w:val="32"/>
          <w:szCs w:val="32"/>
        </w:rPr>
        <w:t>1</w:t>
      </w:r>
      <w:r>
        <w:rPr>
          <w:rFonts w:hint="eastAsia" w:ascii="仿宋_GB2312" w:eastAsia="仿宋_GB2312"/>
          <w:snapToGrid w:val="0"/>
          <w:color w:val="000000"/>
          <w:kern w:val="0"/>
          <w:sz w:val="32"/>
          <w:szCs w:val="32"/>
        </w:rPr>
        <w:t>个。滕州市地热资源重点勘查区：面积</w:t>
      </w:r>
      <w:r>
        <w:rPr>
          <w:rFonts w:ascii="仿宋_GB2312" w:eastAsia="仿宋_GB2312"/>
          <w:snapToGrid w:val="0"/>
          <w:color w:val="000000"/>
          <w:kern w:val="0"/>
          <w:sz w:val="32"/>
          <w:szCs w:val="32"/>
        </w:rPr>
        <w:t>220.77</w:t>
      </w:r>
      <w:r>
        <w:rPr>
          <w:rFonts w:hint="eastAsia" w:ascii="仿宋_GB2312" w:eastAsia="仿宋_GB2312"/>
          <w:snapToGrid w:val="0"/>
          <w:color w:val="000000"/>
          <w:kern w:val="0"/>
          <w:sz w:val="32"/>
          <w:szCs w:val="32"/>
        </w:rPr>
        <w:t>平方千米。</w:t>
      </w:r>
    </w:p>
    <w:p>
      <w:pPr>
        <w:spacing w:line="560" w:lineRule="exact"/>
        <w:ind w:firstLine="642" w:firstLineChars="200"/>
        <w:rPr>
          <w:rFonts w:ascii="仿宋" w:hAnsi="仿宋" w:eastAsia="仿宋"/>
          <w:snapToGrid w:val="0"/>
          <w:kern w:val="0"/>
          <w:sz w:val="32"/>
          <w:szCs w:val="32"/>
        </w:rPr>
      </w:pPr>
      <w:r>
        <w:rPr>
          <w:rFonts w:hint="eastAsia" w:ascii="仿宋_GB2312" w:eastAsia="仿宋_GB2312"/>
          <w:b/>
          <w:snapToGrid w:val="0"/>
          <w:color w:val="000000"/>
          <w:kern w:val="0"/>
          <w:sz w:val="32"/>
          <w:szCs w:val="32"/>
        </w:rPr>
        <w:t>管控措施：</w:t>
      </w:r>
      <w:r>
        <w:rPr>
          <w:rFonts w:hint="eastAsia" w:ascii="仿宋_GB2312" w:eastAsia="仿宋_GB2312"/>
          <w:snapToGrid w:val="0"/>
          <w:color w:val="000000"/>
          <w:kern w:val="0"/>
          <w:sz w:val="32"/>
          <w:szCs w:val="32"/>
        </w:rPr>
        <w:t>财政资金优先向重点勘查区内项目倾斜，积极推进探矿权市场建设，引导社会资金风险投资开展商业性矿产勘查，加强绿色勘查；探矿权实行重点监管，严格勘查合同管理，推动精细勘查，实现找矿突破。</w:t>
      </w:r>
    </w:p>
    <w:p>
      <w:pPr>
        <w:spacing w:line="560" w:lineRule="exact"/>
        <w:ind w:firstLine="642" w:firstLineChars="200"/>
        <w:rPr>
          <w:rFonts w:ascii="仿宋_GB2312" w:eastAsia="仿宋_GB2312"/>
          <w:b/>
          <w:snapToGrid w:val="0"/>
          <w:color w:val="000000"/>
          <w:kern w:val="0"/>
          <w:sz w:val="32"/>
          <w:szCs w:val="32"/>
        </w:rPr>
      </w:pPr>
      <w:r>
        <w:rPr>
          <w:rFonts w:hint="eastAsia" w:ascii="仿宋_GB2312" w:eastAsia="仿宋_GB2312"/>
          <w:b/>
          <w:snapToGrid w:val="0"/>
          <w:color w:val="000000"/>
          <w:kern w:val="0"/>
          <w:sz w:val="32"/>
          <w:szCs w:val="32"/>
        </w:rPr>
        <w:t>（</w:t>
      </w:r>
      <w:r>
        <w:rPr>
          <w:rFonts w:ascii="仿宋_GB2312" w:eastAsia="仿宋_GB2312"/>
          <w:b/>
          <w:snapToGrid w:val="0"/>
          <w:color w:val="000000"/>
          <w:kern w:val="0"/>
          <w:sz w:val="32"/>
          <w:szCs w:val="32"/>
        </w:rPr>
        <w:t>2</w:t>
      </w:r>
      <w:r>
        <w:rPr>
          <w:rFonts w:hint="eastAsia" w:ascii="仿宋_GB2312" w:eastAsia="仿宋_GB2312"/>
          <w:b/>
          <w:snapToGrid w:val="0"/>
          <w:color w:val="000000"/>
          <w:kern w:val="0"/>
          <w:sz w:val="32"/>
          <w:szCs w:val="32"/>
        </w:rPr>
        <w:t>）重点开采区</w:t>
      </w:r>
    </w:p>
    <w:p>
      <w:pPr>
        <w:spacing w:line="560" w:lineRule="exact"/>
        <w:ind w:firstLine="640" w:firstLineChars="200"/>
        <w:rPr>
          <w:rFonts w:ascii="仿宋_GB2312" w:eastAsia="仿宋_GB2312"/>
          <w:snapToGrid w:val="0"/>
          <w:color w:val="000000"/>
          <w:kern w:val="0"/>
          <w:sz w:val="32"/>
          <w:szCs w:val="32"/>
        </w:rPr>
      </w:pPr>
      <w:bookmarkStart w:id="104" w:name="_Hlk93673858"/>
      <w:r>
        <w:rPr>
          <w:rFonts w:hint="eastAsia" w:ascii="仿宋_GB2312" w:eastAsia="仿宋_GB2312"/>
          <w:snapToGrid w:val="0"/>
          <w:color w:val="000000"/>
          <w:kern w:val="0"/>
          <w:sz w:val="32"/>
          <w:szCs w:val="32"/>
        </w:rPr>
        <w:t>落实省规划重点开采区</w:t>
      </w:r>
      <w:r>
        <w:rPr>
          <w:rFonts w:ascii="仿宋_GB2312" w:eastAsia="仿宋_GB2312"/>
          <w:snapToGrid w:val="0"/>
          <w:color w:val="000000"/>
          <w:kern w:val="0"/>
          <w:sz w:val="32"/>
          <w:szCs w:val="32"/>
        </w:rPr>
        <w:t>2</w:t>
      </w:r>
      <w:r>
        <w:rPr>
          <w:rFonts w:hint="eastAsia" w:ascii="仿宋_GB2312" w:eastAsia="仿宋_GB2312"/>
          <w:snapToGrid w:val="0"/>
          <w:color w:val="000000"/>
          <w:kern w:val="0"/>
          <w:sz w:val="32"/>
          <w:szCs w:val="32"/>
        </w:rPr>
        <w:t>个。</w:t>
      </w:r>
      <w:bookmarkEnd w:id="104"/>
      <w:r>
        <w:rPr>
          <w:rFonts w:hint="eastAsia" w:ascii="仿宋_GB2312" w:eastAsia="仿宋_GB2312"/>
          <w:snapToGrid w:val="0"/>
          <w:color w:val="000000"/>
          <w:kern w:val="0"/>
          <w:sz w:val="32"/>
          <w:szCs w:val="32"/>
        </w:rPr>
        <w:t>为山东枣庄市滕州市石灰岩重点开采区和山东枣庄市滕州市隔山矿区白云岩重点开采区，其中山东枣庄市滕州市石灰岩重点开采区面积</w:t>
      </w:r>
      <w:r>
        <w:rPr>
          <w:rFonts w:ascii="仿宋_GB2312" w:eastAsia="仿宋_GB2312"/>
          <w:snapToGrid w:val="0"/>
          <w:color w:val="000000"/>
          <w:kern w:val="0"/>
          <w:sz w:val="32"/>
          <w:szCs w:val="32"/>
        </w:rPr>
        <w:t>7.51</w:t>
      </w:r>
      <w:r>
        <w:rPr>
          <w:rFonts w:hint="eastAsia" w:ascii="仿宋_GB2312" w:eastAsia="仿宋_GB2312"/>
          <w:snapToGrid w:val="0"/>
          <w:color w:val="000000"/>
          <w:kern w:val="0"/>
          <w:sz w:val="32"/>
          <w:szCs w:val="32"/>
        </w:rPr>
        <w:t>平方千米，隔山矿区面积</w:t>
      </w:r>
      <w:r>
        <w:rPr>
          <w:rFonts w:ascii="仿宋_GB2312" w:eastAsia="仿宋_GB2312"/>
          <w:snapToGrid w:val="0"/>
          <w:color w:val="000000"/>
          <w:kern w:val="0"/>
          <w:sz w:val="32"/>
          <w:szCs w:val="32"/>
        </w:rPr>
        <w:t>14.68</w:t>
      </w:r>
      <w:r>
        <w:rPr>
          <w:rFonts w:hint="eastAsia" w:ascii="仿宋_GB2312" w:eastAsia="仿宋_GB2312"/>
          <w:snapToGrid w:val="0"/>
          <w:color w:val="000000"/>
          <w:kern w:val="0"/>
          <w:sz w:val="32"/>
          <w:szCs w:val="32"/>
        </w:rPr>
        <w:t>平方千米。</w:t>
      </w:r>
    </w:p>
    <w:p>
      <w:pPr>
        <w:spacing w:line="560" w:lineRule="exact"/>
        <w:ind w:firstLine="642" w:firstLineChars="200"/>
        <w:rPr>
          <w:rFonts w:ascii="仿宋_GB2312" w:hAnsi="宋体" w:eastAsia="仿宋_GB2312"/>
          <w:bCs/>
          <w:snapToGrid w:val="0"/>
          <w:color w:val="000000"/>
          <w:kern w:val="0"/>
          <w:sz w:val="32"/>
          <w:szCs w:val="32"/>
        </w:rPr>
      </w:pPr>
      <w:r>
        <w:rPr>
          <w:rFonts w:hint="eastAsia" w:ascii="仿宋_GB2312" w:eastAsia="仿宋_GB2312"/>
          <w:b/>
          <w:snapToGrid w:val="0"/>
          <w:color w:val="000000"/>
          <w:kern w:val="0"/>
          <w:sz w:val="32"/>
          <w:szCs w:val="32"/>
        </w:rPr>
        <w:t>管控措施：</w:t>
      </w:r>
      <w:r>
        <w:rPr>
          <w:rFonts w:hint="eastAsia" w:ascii="仿宋_GB2312" w:eastAsia="仿宋_GB2312"/>
          <w:snapToGrid w:val="0"/>
          <w:color w:val="000000"/>
          <w:kern w:val="0"/>
          <w:sz w:val="32"/>
          <w:szCs w:val="32"/>
        </w:rPr>
        <w:t>在稳定资源供应的基础上，重点开采区要加强宏观调控，科学合理设置并优化布局，提升绿色矿山建设水平，推广示范绿色矿业经验，推进矿山规模化、集约化和效益化发展。区内采矿权以招标竞争方式获取，按照“谁开谁治、边开边治”的原则，夯实采矿权人矿山地质环境保护与修复、土地复垦的主体责任，保护环境。</w:t>
      </w:r>
    </w:p>
    <w:p>
      <w:pPr>
        <w:spacing w:line="560" w:lineRule="exact"/>
        <w:ind w:firstLine="642" w:firstLineChars="200"/>
        <w:rPr>
          <w:rFonts w:ascii="仿宋_GB2312" w:hAnsi="仿宋" w:eastAsia="仿宋_GB2312"/>
          <w:b/>
          <w:snapToGrid w:val="0"/>
          <w:color w:val="000000"/>
          <w:kern w:val="0"/>
          <w:sz w:val="32"/>
          <w:szCs w:val="32"/>
        </w:rPr>
      </w:pPr>
      <w:r>
        <w:rPr>
          <w:rFonts w:ascii="仿宋_GB2312" w:hAnsi="仿宋" w:eastAsia="仿宋_GB2312"/>
          <w:b/>
          <w:snapToGrid w:val="0"/>
          <w:color w:val="000000"/>
          <w:kern w:val="0"/>
          <w:sz w:val="32"/>
          <w:szCs w:val="32"/>
        </w:rPr>
        <w:t>2.</w:t>
      </w:r>
      <w:r>
        <w:rPr>
          <w:rFonts w:hint="eastAsia" w:ascii="仿宋_GB2312" w:hAnsi="仿宋" w:eastAsia="仿宋_GB2312"/>
          <w:b/>
          <w:snapToGrid w:val="0"/>
          <w:color w:val="000000"/>
          <w:kern w:val="0"/>
          <w:sz w:val="32"/>
          <w:szCs w:val="32"/>
        </w:rPr>
        <w:t>勘查开采规划区块设置</w:t>
      </w:r>
    </w:p>
    <w:p>
      <w:pPr>
        <w:spacing w:line="560" w:lineRule="exact"/>
        <w:ind w:firstLine="642" w:firstLineChars="200"/>
        <w:rPr>
          <w:rFonts w:ascii="仿宋_GB2312" w:eastAsia="仿宋_GB2312"/>
          <w:b/>
          <w:snapToGrid w:val="0"/>
          <w:color w:val="000000"/>
          <w:kern w:val="0"/>
          <w:sz w:val="32"/>
          <w:szCs w:val="32"/>
        </w:rPr>
      </w:pPr>
      <w:r>
        <w:rPr>
          <w:rFonts w:hint="eastAsia" w:ascii="仿宋_GB2312" w:eastAsia="仿宋_GB2312"/>
          <w:b/>
          <w:snapToGrid w:val="0"/>
          <w:color w:val="000000"/>
          <w:kern w:val="0"/>
          <w:sz w:val="32"/>
          <w:szCs w:val="32"/>
        </w:rPr>
        <w:t>（</w:t>
      </w:r>
      <w:r>
        <w:rPr>
          <w:rFonts w:ascii="仿宋_GB2312" w:eastAsia="仿宋_GB2312"/>
          <w:b/>
          <w:snapToGrid w:val="0"/>
          <w:color w:val="000000"/>
          <w:kern w:val="0"/>
          <w:sz w:val="32"/>
          <w:szCs w:val="32"/>
        </w:rPr>
        <w:t>1</w:t>
      </w:r>
      <w:r>
        <w:rPr>
          <w:rFonts w:hint="eastAsia" w:ascii="仿宋_GB2312" w:eastAsia="仿宋_GB2312"/>
          <w:b/>
          <w:snapToGrid w:val="0"/>
          <w:color w:val="000000"/>
          <w:kern w:val="0"/>
          <w:sz w:val="32"/>
          <w:szCs w:val="32"/>
        </w:rPr>
        <w:t>）勘查规划区块</w:t>
      </w:r>
    </w:p>
    <w:p>
      <w:pPr>
        <w:spacing w:line="560" w:lineRule="exact"/>
        <w:ind w:firstLine="640" w:firstLineChars="200"/>
        <w:rPr>
          <w:rFonts w:ascii="仿宋_GB2312" w:eastAsia="仿宋_GB2312"/>
          <w:snapToGrid w:val="0"/>
          <w:color w:val="000000"/>
          <w:kern w:val="0"/>
          <w:sz w:val="32"/>
          <w:szCs w:val="32"/>
        </w:rPr>
      </w:pPr>
      <w:r>
        <w:rPr>
          <w:rFonts w:hint="eastAsia" w:ascii="仿宋_GB2312" w:eastAsia="仿宋_GB2312"/>
          <w:snapToGrid w:val="0"/>
          <w:color w:val="000000"/>
          <w:kern w:val="0"/>
          <w:sz w:val="32"/>
          <w:szCs w:val="32"/>
        </w:rPr>
        <w:t>落实市规划勘查规划设置区块</w:t>
      </w:r>
      <w:r>
        <w:rPr>
          <w:rFonts w:ascii="仿宋_GB2312" w:eastAsia="仿宋_GB2312"/>
          <w:snapToGrid w:val="0"/>
          <w:color w:val="000000"/>
          <w:kern w:val="0"/>
          <w:sz w:val="32"/>
          <w:szCs w:val="32"/>
        </w:rPr>
        <w:t>3</w:t>
      </w:r>
      <w:r>
        <w:rPr>
          <w:rFonts w:hint="eastAsia" w:ascii="仿宋_GB2312" w:eastAsia="仿宋_GB2312"/>
          <w:snapToGrid w:val="0"/>
          <w:color w:val="000000"/>
          <w:kern w:val="0"/>
          <w:sz w:val="32"/>
          <w:szCs w:val="32"/>
        </w:rPr>
        <w:t>个，枣庄市滕州市滨湖地区地热普查，面积</w:t>
      </w:r>
      <w:r>
        <w:rPr>
          <w:rFonts w:ascii="仿宋_GB2312" w:eastAsia="仿宋_GB2312"/>
          <w:snapToGrid w:val="0"/>
          <w:color w:val="000000"/>
          <w:kern w:val="0"/>
          <w:sz w:val="32"/>
          <w:szCs w:val="32"/>
        </w:rPr>
        <w:t>19.84</w:t>
      </w:r>
      <w:r>
        <w:rPr>
          <w:rFonts w:hint="eastAsia" w:ascii="仿宋_GB2312" w:eastAsia="仿宋_GB2312"/>
          <w:snapToGrid w:val="0"/>
          <w:color w:val="000000"/>
          <w:kern w:val="0"/>
          <w:sz w:val="32"/>
          <w:szCs w:val="32"/>
        </w:rPr>
        <w:t>平方千米；枣庄市滕州市柳泉地区地热普查，面积</w:t>
      </w:r>
      <w:r>
        <w:rPr>
          <w:rFonts w:ascii="仿宋_GB2312" w:eastAsia="仿宋_GB2312"/>
          <w:snapToGrid w:val="0"/>
          <w:color w:val="000000"/>
          <w:kern w:val="0"/>
          <w:sz w:val="32"/>
          <w:szCs w:val="32"/>
        </w:rPr>
        <w:t>63.34</w:t>
      </w:r>
      <w:r>
        <w:rPr>
          <w:rFonts w:hint="eastAsia" w:ascii="仿宋_GB2312" w:eastAsia="仿宋_GB2312"/>
          <w:snapToGrid w:val="0"/>
          <w:color w:val="000000"/>
          <w:kern w:val="0"/>
          <w:sz w:val="32"/>
          <w:szCs w:val="32"/>
        </w:rPr>
        <w:t>平方千米；枣庄市滕州市龙泉地区地热普查，面积</w:t>
      </w:r>
      <w:r>
        <w:rPr>
          <w:rFonts w:ascii="仿宋_GB2312" w:eastAsia="仿宋_GB2312"/>
          <w:snapToGrid w:val="0"/>
          <w:color w:val="000000"/>
          <w:kern w:val="0"/>
          <w:sz w:val="32"/>
          <w:szCs w:val="32"/>
        </w:rPr>
        <w:t>116.98</w:t>
      </w:r>
      <w:r>
        <w:rPr>
          <w:rFonts w:hint="eastAsia" w:ascii="仿宋_GB2312" w:eastAsia="仿宋_GB2312"/>
          <w:snapToGrid w:val="0"/>
          <w:color w:val="000000"/>
          <w:kern w:val="0"/>
          <w:sz w:val="32"/>
          <w:szCs w:val="32"/>
        </w:rPr>
        <w:t>平方千米，投放时序为</w:t>
      </w:r>
      <w:r>
        <w:rPr>
          <w:rFonts w:ascii="仿宋_GB2312" w:eastAsia="仿宋_GB2312"/>
          <w:snapToGrid w:val="0"/>
          <w:color w:val="000000"/>
          <w:kern w:val="0"/>
          <w:sz w:val="32"/>
          <w:szCs w:val="32"/>
        </w:rPr>
        <w:t>2022</w:t>
      </w:r>
      <w:r>
        <w:rPr>
          <w:rFonts w:hint="eastAsia" w:ascii="仿宋_GB2312" w:eastAsia="仿宋_GB2312"/>
          <w:snapToGrid w:val="0"/>
          <w:color w:val="000000"/>
          <w:kern w:val="0"/>
          <w:sz w:val="32"/>
          <w:szCs w:val="32"/>
        </w:rPr>
        <w:t>—</w:t>
      </w:r>
      <w:r>
        <w:rPr>
          <w:rFonts w:ascii="仿宋_GB2312" w:eastAsia="仿宋_GB2312"/>
          <w:snapToGrid w:val="0"/>
          <w:color w:val="000000"/>
          <w:kern w:val="0"/>
          <w:sz w:val="32"/>
          <w:szCs w:val="32"/>
        </w:rPr>
        <w:t>2025</w:t>
      </w:r>
      <w:r>
        <w:rPr>
          <w:rFonts w:hint="eastAsia" w:ascii="仿宋_GB2312" w:eastAsia="仿宋_GB2312"/>
          <w:snapToGrid w:val="0"/>
          <w:color w:val="000000"/>
          <w:kern w:val="0"/>
          <w:sz w:val="32"/>
          <w:szCs w:val="32"/>
        </w:rPr>
        <w:t>年。具体投放时序以市经济发展对矿产资源的需求缓急进行投放。</w:t>
      </w:r>
    </w:p>
    <w:p>
      <w:pPr>
        <w:spacing w:line="560" w:lineRule="exact"/>
        <w:ind w:firstLine="642" w:firstLineChars="200"/>
        <w:rPr>
          <w:rFonts w:ascii="仿宋_GB2312" w:eastAsia="仿宋_GB2312"/>
          <w:snapToGrid w:val="0"/>
          <w:color w:val="000000"/>
          <w:kern w:val="0"/>
          <w:sz w:val="32"/>
          <w:szCs w:val="32"/>
        </w:rPr>
      </w:pPr>
      <w:r>
        <w:rPr>
          <w:rFonts w:hint="eastAsia" w:ascii="仿宋_GB2312" w:eastAsia="仿宋_GB2312"/>
          <w:b/>
          <w:snapToGrid w:val="0"/>
          <w:color w:val="000000"/>
          <w:kern w:val="0"/>
          <w:sz w:val="32"/>
          <w:szCs w:val="32"/>
        </w:rPr>
        <w:t>管控措施：</w:t>
      </w:r>
      <w:r>
        <w:rPr>
          <w:rFonts w:hint="eastAsia" w:ascii="仿宋_GB2312" w:eastAsia="仿宋_GB2312"/>
          <w:snapToGrid w:val="0"/>
          <w:color w:val="000000"/>
          <w:kern w:val="0"/>
          <w:sz w:val="32"/>
          <w:szCs w:val="32"/>
        </w:rPr>
        <w:t>探矿权人应严格按招拍挂牌出让的方式进行登记，严格按勘查合同开展工作，落实勘查施工生态环境保护措施和实施环境承载力评估，做到依法勘查、绿色勘查。行政主管部门做好监督检查。</w:t>
      </w:r>
    </w:p>
    <w:p>
      <w:pPr>
        <w:spacing w:line="560" w:lineRule="exact"/>
        <w:ind w:firstLine="642" w:firstLineChars="200"/>
        <w:rPr>
          <w:rFonts w:ascii="仿宋_GB2312" w:eastAsia="仿宋_GB2312"/>
          <w:b/>
          <w:snapToGrid w:val="0"/>
          <w:color w:val="000000"/>
          <w:kern w:val="0"/>
          <w:sz w:val="32"/>
          <w:szCs w:val="32"/>
        </w:rPr>
      </w:pPr>
      <w:bookmarkStart w:id="105" w:name="_Toc498939786"/>
      <w:bookmarkStart w:id="106" w:name="_Toc472518442"/>
      <w:r>
        <w:rPr>
          <w:rFonts w:hint="eastAsia" w:ascii="仿宋_GB2312" w:eastAsia="仿宋_GB2312"/>
          <w:b/>
          <w:snapToGrid w:val="0"/>
          <w:color w:val="000000"/>
          <w:kern w:val="0"/>
          <w:sz w:val="32"/>
          <w:szCs w:val="32"/>
        </w:rPr>
        <w:t>（</w:t>
      </w:r>
      <w:r>
        <w:rPr>
          <w:rFonts w:ascii="仿宋_GB2312" w:eastAsia="仿宋_GB2312"/>
          <w:b/>
          <w:snapToGrid w:val="0"/>
          <w:color w:val="000000"/>
          <w:kern w:val="0"/>
          <w:sz w:val="32"/>
          <w:szCs w:val="32"/>
        </w:rPr>
        <w:t>2</w:t>
      </w:r>
      <w:r>
        <w:rPr>
          <w:rFonts w:hint="eastAsia" w:ascii="仿宋_GB2312" w:eastAsia="仿宋_GB2312"/>
          <w:b/>
          <w:snapToGrid w:val="0"/>
          <w:color w:val="000000"/>
          <w:kern w:val="0"/>
          <w:sz w:val="32"/>
          <w:szCs w:val="32"/>
        </w:rPr>
        <w:t>）</w:t>
      </w:r>
      <w:bookmarkEnd w:id="105"/>
      <w:bookmarkEnd w:id="106"/>
      <w:r>
        <w:rPr>
          <w:rFonts w:hint="eastAsia" w:ascii="仿宋_GB2312" w:eastAsia="仿宋_GB2312"/>
          <w:b/>
          <w:snapToGrid w:val="0"/>
          <w:color w:val="000000"/>
          <w:kern w:val="0"/>
          <w:sz w:val="32"/>
          <w:szCs w:val="32"/>
        </w:rPr>
        <w:t>开采规划区块</w:t>
      </w:r>
    </w:p>
    <w:p>
      <w:pPr>
        <w:spacing w:line="560" w:lineRule="exact"/>
        <w:ind w:firstLine="640" w:firstLineChars="200"/>
        <w:rPr>
          <w:rFonts w:ascii="仿宋_GB2312" w:eastAsia="仿宋_GB2312"/>
          <w:snapToGrid w:val="0"/>
          <w:color w:val="000000"/>
          <w:kern w:val="0"/>
          <w:sz w:val="32"/>
          <w:szCs w:val="32"/>
        </w:rPr>
      </w:pPr>
      <w:r>
        <w:rPr>
          <w:rFonts w:hint="eastAsia" w:ascii="仿宋_GB2312" w:eastAsia="仿宋_GB2312"/>
          <w:snapToGrid w:val="0"/>
          <w:color w:val="000000"/>
          <w:kern w:val="0"/>
          <w:sz w:val="32"/>
          <w:szCs w:val="32"/>
        </w:rPr>
        <w:t>落实市规划开采规划区块</w:t>
      </w:r>
      <w:r>
        <w:rPr>
          <w:rFonts w:ascii="仿宋_GB2312" w:eastAsia="仿宋_GB2312"/>
          <w:snapToGrid w:val="0"/>
          <w:color w:val="000000"/>
          <w:kern w:val="0"/>
          <w:sz w:val="32"/>
          <w:szCs w:val="32"/>
        </w:rPr>
        <w:t>1</w:t>
      </w:r>
      <w:r>
        <w:rPr>
          <w:rFonts w:hint="eastAsia" w:ascii="仿宋_GB2312" w:eastAsia="仿宋_GB2312"/>
          <w:snapToGrid w:val="0"/>
          <w:color w:val="000000"/>
          <w:kern w:val="0"/>
          <w:sz w:val="32"/>
          <w:szCs w:val="32"/>
        </w:rPr>
        <w:t>个，为滕州市隔山矿区冶金用白云岩矿，面积</w:t>
      </w:r>
      <w:r>
        <w:rPr>
          <w:rFonts w:ascii="仿宋_GB2312" w:eastAsia="仿宋_GB2312"/>
          <w:snapToGrid w:val="0"/>
          <w:color w:val="000000"/>
          <w:kern w:val="0"/>
          <w:sz w:val="32"/>
          <w:szCs w:val="32"/>
        </w:rPr>
        <w:t>0.3378</w:t>
      </w:r>
      <w:r>
        <w:rPr>
          <w:rFonts w:hint="eastAsia" w:ascii="仿宋_GB2312" w:eastAsia="仿宋_GB2312"/>
          <w:snapToGrid w:val="0"/>
          <w:color w:val="000000"/>
          <w:kern w:val="0"/>
          <w:sz w:val="32"/>
          <w:szCs w:val="32"/>
        </w:rPr>
        <w:t>平方千米，投放时序</w:t>
      </w:r>
      <w:r>
        <w:rPr>
          <w:rFonts w:ascii="仿宋_GB2312" w:eastAsia="仿宋_GB2312"/>
          <w:snapToGrid w:val="0"/>
          <w:color w:val="000000"/>
          <w:kern w:val="0"/>
          <w:sz w:val="32"/>
          <w:szCs w:val="32"/>
        </w:rPr>
        <w:t>2022</w:t>
      </w:r>
      <w:r>
        <w:rPr>
          <w:rFonts w:hint="eastAsia" w:ascii="仿宋_GB2312" w:eastAsia="仿宋_GB2312"/>
          <w:snapToGrid w:val="0"/>
          <w:color w:val="000000"/>
          <w:kern w:val="0"/>
          <w:sz w:val="32"/>
          <w:szCs w:val="32"/>
        </w:rPr>
        <w:t>—</w:t>
      </w:r>
      <w:r>
        <w:rPr>
          <w:rFonts w:ascii="仿宋_GB2312" w:eastAsia="仿宋_GB2312"/>
          <w:snapToGrid w:val="0"/>
          <w:color w:val="000000"/>
          <w:kern w:val="0"/>
          <w:sz w:val="32"/>
          <w:szCs w:val="32"/>
        </w:rPr>
        <w:t>2024</w:t>
      </w:r>
      <w:r>
        <w:rPr>
          <w:rFonts w:hint="eastAsia" w:ascii="仿宋_GB2312" w:eastAsia="仿宋_GB2312"/>
          <w:snapToGrid w:val="0"/>
          <w:color w:val="000000"/>
          <w:kern w:val="0"/>
          <w:sz w:val="32"/>
          <w:szCs w:val="32"/>
        </w:rPr>
        <w:t>年；规划新设置开采规划区块</w:t>
      </w:r>
      <w:r>
        <w:rPr>
          <w:rFonts w:ascii="仿宋_GB2312" w:eastAsia="仿宋_GB2312"/>
          <w:snapToGrid w:val="0"/>
          <w:color w:val="000000"/>
          <w:kern w:val="0"/>
          <w:sz w:val="32"/>
          <w:szCs w:val="32"/>
        </w:rPr>
        <w:t>2</w:t>
      </w:r>
      <w:r>
        <w:rPr>
          <w:rFonts w:hint="eastAsia" w:ascii="仿宋_GB2312" w:eastAsia="仿宋_GB2312"/>
          <w:snapToGrid w:val="0"/>
          <w:color w:val="000000"/>
          <w:kern w:val="0"/>
          <w:sz w:val="32"/>
          <w:szCs w:val="32"/>
        </w:rPr>
        <w:t>个，为滕州市马鞍山矿区建筑石料用灰岩矿和滕州市护子山矿区建筑石料用灰岩矿，面积</w:t>
      </w:r>
      <w:r>
        <w:rPr>
          <w:rFonts w:ascii="仿宋_GB2312" w:eastAsia="仿宋_GB2312"/>
          <w:snapToGrid w:val="0"/>
          <w:color w:val="000000"/>
          <w:kern w:val="0"/>
          <w:sz w:val="32"/>
          <w:szCs w:val="32"/>
        </w:rPr>
        <w:t>0.3869</w:t>
      </w:r>
      <w:r>
        <w:rPr>
          <w:rFonts w:hint="eastAsia" w:ascii="仿宋_GB2312" w:eastAsia="仿宋_GB2312"/>
          <w:snapToGrid w:val="0"/>
          <w:color w:val="000000"/>
          <w:kern w:val="0"/>
          <w:sz w:val="32"/>
          <w:szCs w:val="32"/>
        </w:rPr>
        <w:t>平方千米，投放时序</w:t>
      </w:r>
      <w:r>
        <w:rPr>
          <w:rFonts w:ascii="仿宋_GB2312" w:eastAsia="仿宋_GB2312"/>
          <w:snapToGrid w:val="0"/>
          <w:color w:val="000000"/>
          <w:kern w:val="0"/>
          <w:sz w:val="32"/>
          <w:szCs w:val="32"/>
        </w:rPr>
        <w:t>2022</w:t>
      </w:r>
      <w:r>
        <w:rPr>
          <w:rFonts w:hint="eastAsia" w:ascii="仿宋_GB2312" w:eastAsia="仿宋_GB2312"/>
          <w:snapToGrid w:val="0"/>
          <w:color w:val="000000"/>
          <w:kern w:val="0"/>
          <w:sz w:val="32"/>
          <w:szCs w:val="32"/>
        </w:rPr>
        <w:t>—</w:t>
      </w:r>
      <w:r>
        <w:rPr>
          <w:rFonts w:ascii="仿宋_GB2312" w:eastAsia="仿宋_GB2312"/>
          <w:snapToGrid w:val="0"/>
          <w:color w:val="000000"/>
          <w:kern w:val="0"/>
          <w:sz w:val="32"/>
          <w:szCs w:val="32"/>
        </w:rPr>
        <w:t>2024</w:t>
      </w:r>
      <w:r>
        <w:rPr>
          <w:rFonts w:hint="eastAsia" w:ascii="仿宋_GB2312" w:eastAsia="仿宋_GB2312"/>
          <w:snapToGrid w:val="0"/>
          <w:color w:val="000000"/>
          <w:kern w:val="0"/>
          <w:sz w:val="32"/>
          <w:szCs w:val="32"/>
        </w:rPr>
        <w:t>年，具体投放时序以实际投放为准。</w:t>
      </w:r>
    </w:p>
    <w:p>
      <w:pPr>
        <w:spacing w:line="560" w:lineRule="exact"/>
        <w:ind w:firstLine="642" w:firstLineChars="200"/>
        <w:rPr>
          <w:rFonts w:ascii="仿宋_GB2312" w:eastAsia="仿宋_GB2312"/>
          <w:snapToGrid w:val="0"/>
          <w:color w:val="000000"/>
          <w:kern w:val="0"/>
          <w:sz w:val="32"/>
          <w:szCs w:val="32"/>
        </w:rPr>
      </w:pPr>
      <w:r>
        <w:rPr>
          <w:rFonts w:hint="eastAsia" w:ascii="仿宋_GB2312" w:eastAsia="仿宋_GB2312"/>
          <w:b/>
          <w:snapToGrid w:val="0"/>
          <w:color w:val="000000"/>
          <w:kern w:val="0"/>
          <w:sz w:val="32"/>
          <w:szCs w:val="32"/>
        </w:rPr>
        <w:t>管控要求：</w:t>
      </w:r>
      <w:r>
        <w:rPr>
          <w:rFonts w:hint="eastAsia" w:ascii="仿宋_GB2312" w:eastAsia="仿宋_GB2312"/>
          <w:snapToGrid w:val="0"/>
          <w:color w:val="000000"/>
          <w:kern w:val="0"/>
          <w:sz w:val="32"/>
          <w:szCs w:val="32"/>
        </w:rPr>
        <w:t>开采规划区块投放要考虑矿种开发总量调控、采矿权总数控制、重点开采矿种、划定的重点开采区及下一步的开发利用布局等要素，根据市场需求，有计划投放采矿权。采矿权投放时严格落实规划区块划定的范围，不得变更规划区块确定的开采主矿种，严禁大矿小开、一矿多开。严格采矿权出让监管，采矿权出让应采取招标、拍卖、挂牌等方式进行。矿业权人按绿色矿山标准要求进行合理开发。</w:t>
      </w:r>
      <w:bookmarkEnd w:id="103"/>
      <w:bookmarkStart w:id="107" w:name="OLE_LINK50"/>
      <w:bookmarkStart w:id="108" w:name="_Toc133399307"/>
      <w:bookmarkStart w:id="109" w:name="OLE_LINK48"/>
    </w:p>
    <w:p>
      <w:pPr>
        <w:pStyle w:val="3"/>
        <w:keepNext w:val="0"/>
        <w:keepLines w:val="0"/>
        <w:spacing w:before="0" w:after="0" w:line="560" w:lineRule="exact"/>
        <w:ind w:firstLine="640" w:firstLineChars="200"/>
        <w:jc w:val="both"/>
        <w:rPr>
          <w:rFonts w:hAnsi="仿宋" w:eastAsia="黑体"/>
          <w:b w:val="0"/>
          <w:snapToGrid w:val="0"/>
          <w:color w:val="000000"/>
          <w:kern w:val="0"/>
          <w:szCs w:val="32"/>
        </w:rPr>
      </w:pPr>
      <w:r>
        <w:rPr>
          <w:rFonts w:hint="eastAsia" w:hAnsi="仿宋" w:eastAsia="黑体"/>
          <w:b w:val="0"/>
          <w:snapToGrid w:val="0"/>
          <w:color w:val="000000"/>
          <w:kern w:val="0"/>
          <w:szCs w:val="32"/>
        </w:rPr>
        <w:t>四、加强矿产资源勘查开发利用与保护</w:t>
      </w:r>
      <w:bookmarkEnd w:id="107"/>
      <w:bookmarkEnd w:id="108"/>
    </w:p>
    <w:p>
      <w:pPr>
        <w:pStyle w:val="4"/>
        <w:keepNext w:val="0"/>
        <w:keepLines w:val="0"/>
        <w:spacing w:before="0" w:after="0" w:line="560" w:lineRule="exact"/>
        <w:ind w:firstLine="640" w:firstLineChars="200"/>
        <w:jc w:val="both"/>
        <w:rPr>
          <w:rFonts w:ascii="楷体_GB2312" w:hAnsi="仿宋" w:eastAsia="楷体_GB2312"/>
          <w:b w:val="0"/>
          <w:snapToGrid w:val="0"/>
          <w:color w:val="000000"/>
          <w:kern w:val="0"/>
          <w:sz w:val="32"/>
        </w:rPr>
      </w:pPr>
      <w:bookmarkStart w:id="110" w:name="_Toc133399308"/>
      <w:r>
        <w:rPr>
          <w:rFonts w:hint="eastAsia" w:ascii="楷体_GB2312" w:hAnsi="仿宋" w:eastAsia="楷体_GB2312"/>
          <w:b w:val="0"/>
          <w:snapToGrid w:val="0"/>
          <w:color w:val="000000"/>
          <w:kern w:val="0"/>
          <w:sz w:val="32"/>
        </w:rPr>
        <w:t>（一）基础地质调查与矿产勘查</w:t>
      </w:r>
      <w:bookmarkEnd w:id="110"/>
    </w:p>
    <w:p>
      <w:pPr>
        <w:spacing w:line="560" w:lineRule="exact"/>
        <w:ind w:firstLine="642" w:firstLineChars="200"/>
        <w:rPr>
          <w:rFonts w:ascii="仿宋_GB2312" w:eastAsia="仿宋_GB2312"/>
          <w:snapToGrid w:val="0"/>
          <w:color w:val="000000"/>
          <w:kern w:val="0"/>
          <w:sz w:val="32"/>
          <w:szCs w:val="32"/>
        </w:rPr>
      </w:pPr>
      <w:r>
        <w:rPr>
          <w:rFonts w:hint="eastAsia" w:ascii="仿宋_GB2312" w:hAnsi="仿宋" w:eastAsia="仿宋_GB2312"/>
          <w:b/>
          <w:snapToGrid w:val="0"/>
          <w:color w:val="000000"/>
          <w:kern w:val="0"/>
          <w:sz w:val="32"/>
          <w:szCs w:val="32"/>
        </w:rPr>
        <w:t>1</w:t>
      </w:r>
      <w:r>
        <w:rPr>
          <w:rFonts w:ascii="仿宋_GB2312" w:hAnsi="仿宋" w:eastAsia="仿宋_GB2312"/>
          <w:b/>
          <w:snapToGrid w:val="0"/>
          <w:color w:val="000000"/>
          <w:kern w:val="0"/>
          <w:sz w:val="32"/>
          <w:szCs w:val="32"/>
        </w:rPr>
        <w:t>.</w:t>
      </w:r>
      <w:r>
        <w:rPr>
          <w:rFonts w:hint="eastAsia" w:ascii="仿宋_GB2312" w:hAnsi="仿宋" w:eastAsia="仿宋_GB2312"/>
          <w:b/>
          <w:snapToGrid w:val="0"/>
          <w:color w:val="000000"/>
          <w:kern w:val="0"/>
          <w:sz w:val="32"/>
          <w:szCs w:val="32"/>
        </w:rPr>
        <w:t>基础性地质调查。</w:t>
      </w:r>
      <w:r>
        <w:rPr>
          <w:rFonts w:hint="eastAsia" w:ascii="仿宋_GB2312" w:eastAsia="仿宋_GB2312"/>
          <w:snapToGrid w:val="0"/>
          <w:color w:val="000000"/>
          <w:kern w:val="0"/>
          <w:sz w:val="32"/>
          <w:szCs w:val="32"/>
        </w:rPr>
        <w:t>落实省规划部署，开展</w:t>
      </w:r>
      <w:r>
        <w:rPr>
          <w:rFonts w:ascii="仿宋_GB2312" w:eastAsia="仿宋_GB2312"/>
          <w:snapToGrid w:val="0"/>
          <w:color w:val="000000"/>
          <w:kern w:val="0"/>
          <w:sz w:val="32"/>
          <w:szCs w:val="32"/>
        </w:rPr>
        <w:t>1:5</w:t>
      </w:r>
      <w:r>
        <w:rPr>
          <w:rFonts w:hint="eastAsia" w:ascii="仿宋_GB2312" w:eastAsia="仿宋_GB2312"/>
          <w:snapToGrid w:val="0"/>
          <w:color w:val="000000"/>
          <w:kern w:val="0"/>
          <w:sz w:val="32"/>
          <w:szCs w:val="32"/>
        </w:rPr>
        <w:t>万滕州市幅、官桥幅1:5万区域地质调查工作，开展应急供水水源地勘查，南四湖上游流域（滕州段）地质环境调查评价，为区域生态环境高质量发展提供地质依据。</w:t>
      </w:r>
    </w:p>
    <w:p>
      <w:pPr>
        <w:spacing w:line="560" w:lineRule="exact"/>
        <w:ind w:firstLine="642" w:firstLineChars="200"/>
        <w:rPr>
          <w:rFonts w:ascii="仿宋_GB2312" w:eastAsia="仿宋_GB2312"/>
          <w:snapToGrid w:val="0"/>
          <w:color w:val="000000"/>
          <w:kern w:val="0"/>
          <w:sz w:val="32"/>
          <w:szCs w:val="32"/>
        </w:rPr>
      </w:pPr>
      <w:r>
        <w:rPr>
          <w:rFonts w:hint="eastAsia" w:ascii="仿宋_GB2312" w:hAnsi="仿宋" w:eastAsia="仿宋_GB2312"/>
          <w:b/>
          <w:snapToGrid w:val="0"/>
          <w:color w:val="000000"/>
          <w:kern w:val="0"/>
          <w:sz w:val="32"/>
          <w:szCs w:val="32"/>
        </w:rPr>
        <w:t>2</w:t>
      </w:r>
      <w:r>
        <w:rPr>
          <w:rFonts w:ascii="仿宋_GB2312" w:hAnsi="仿宋" w:eastAsia="仿宋_GB2312"/>
          <w:b/>
          <w:snapToGrid w:val="0"/>
          <w:color w:val="000000"/>
          <w:kern w:val="0"/>
          <w:sz w:val="32"/>
          <w:szCs w:val="32"/>
        </w:rPr>
        <w:t>.</w:t>
      </w:r>
      <w:r>
        <w:rPr>
          <w:rFonts w:hint="eastAsia" w:ascii="仿宋_GB2312" w:hAnsi="仿宋" w:eastAsia="仿宋_GB2312"/>
          <w:b/>
          <w:snapToGrid w:val="0"/>
          <w:color w:val="000000"/>
          <w:kern w:val="0"/>
          <w:sz w:val="32"/>
          <w:szCs w:val="32"/>
        </w:rPr>
        <w:t>矿产调查评价与勘查。</w:t>
      </w:r>
      <w:r>
        <w:rPr>
          <w:rFonts w:hint="eastAsia" w:ascii="仿宋_GB2312" w:eastAsia="仿宋_GB2312"/>
          <w:snapToGrid w:val="0"/>
          <w:color w:val="000000"/>
          <w:kern w:val="0"/>
          <w:sz w:val="32"/>
          <w:szCs w:val="32"/>
        </w:rPr>
        <w:t>开展滕州地区地热及浅层地温能调查评价工作。进一步摸清家底，开展冶金（熔剂）用白云岩、高附加值非金属矿产的勘查工作。</w:t>
      </w:r>
    </w:p>
    <w:p>
      <w:pPr>
        <w:pStyle w:val="4"/>
        <w:keepNext w:val="0"/>
        <w:keepLines w:val="0"/>
        <w:spacing w:before="0" w:after="0" w:line="560" w:lineRule="exact"/>
        <w:ind w:firstLine="640" w:firstLineChars="200"/>
        <w:jc w:val="both"/>
        <w:rPr>
          <w:rFonts w:ascii="楷体_GB2312" w:hAnsi="仿宋" w:eastAsia="楷体_GB2312"/>
          <w:b w:val="0"/>
          <w:snapToGrid w:val="0"/>
          <w:color w:val="000000"/>
          <w:kern w:val="0"/>
          <w:sz w:val="32"/>
        </w:rPr>
      </w:pPr>
      <w:bookmarkStart w:id="111" w:name="_Toc133399309"/>
      <w:r>
        <w:rPr>
          <w:rFonts w:hint="eastAsia" w:ascii="楷体_GB2312" w:hAnsi="仿宋" w:eastAsia="楷体_GB2312"/>
          <w:b w:val="0"/>
          <w:snapToGrid w:val="0"/>
          <w:color w:val="000000"/>
          <w:kern w:val="0"/>
          <w:sz w:val="32"/>
        </w:rPr>
        <w:t>（</w:t>
      </w:r>
      <w:bookmarkStart w:id="112" w:name="OLE_LINK53"/>
      <w:r>
        <w:rPr>
          <w:rFonts w:hint="eastAsia" w:ascii="楷体_GB2312" w:hAnsi="仿宋" w:eastAsia="楷体_GB2312"/>
          <w:b w:val="0"/>
          <w:snapToGrid w:val="0"/>
          <w:color w:val="000000"/>
          <w:kern w:val="0"/>
          <w:sz w:val="32"/>
        </w:rPr>
        <w:t>二）合理确定开发强度</w:t>
      </w:r>
      <w:bookmarkEnd w:id="111"/>
    </w:p>
    <w:bookmarkEnd w:id="112"/>
    <w:p>
      <w:pPr>
        <w:spacing w:line="560" w:lineRule="exact"/>
        <w:ind w:firstLine="640" w:firstLineChars="200"/>
        <w:rPr>
          <w:rFonts w:ascii="仿宋_GB2312" w:eastAsia="仿宋_GB2312"/>
          <w:snapToGrid w:val="0"/>
          <w:color w:val="000000"/>
          <w:kern w:val="0"/>
          <w:sz w:val="32"/>
          <w:szCs w:val="32"/>
        </w:rPr>
      </w:pPr>
      <w:r>
        <w:rPr>
          <w:rFonts w:hint="eastAsia" w:ascii="仿宋_GB2312" w:eastAsia="仿宋_GB2312"/>
          <w:snapToGrid w:val="0"/>
          <w:color w:val="000000"/>
          <w:kern w:val="0"/>
          <w:sz w:val="32"/>
          <w:szCs w:val="32"/>
        </w:rPr>
        <w:t>按照“严控增量，优化存量，清洁利用”的要求，落实省市规划，符合国家有关政策，结合我市矿产资源供需形势，合理调控矿产资源的开发强度，合理设定预期性总量。</w:t>
      </w:r>
    </w:p>
    <w:p>
      <w:pPr>
        <w:spacing w:line="560" w:lineRule="exact"/>
        <w:ind w:firstLine="642" w:firstLineChars="200"/>
        <w:rPr>
          <w:rFonts w:ascii="仿宋_GB2312" w:eastAsia="仿宋_GB2312"/>
          <w:snapToGrid w:val="0"/>
          <w:color w:val="000000"/>
          <w:kern w:val="0"/>
          <w:sz w:val="32"/>
          <w:szCs w:val="32"/>
        </w:rPr>
      </w:pPr>
      <w:r>
        <w:rPr>
          <w:rFonts w:ascii="仿宋_GB2312" w:hAnsi="仿宋" w:eastAsia="仿宋_GB2312"/>
          <w:b/>
          <w:snapToGrid w:val="0"/>
          <w:color w:val="000000"/>
          <w:kern w:val="0"/>
          <w:sz w:val="32"/>
          <w:szCs w:val="32"/>
        </w:rPr>
        <w:t>1.</w:t>
      </w:r>
      <w:r>
        <w:rPr>
          <w:rFonts w:hint="eastAsia" w:ascii="仿宋_GB2312" w:hAnsi="仿宋" w:eastAsia="仿宋_GB2312"/>
          <w:b/>
          <w:snapToGrid w:val="0"/>
          <w:color w:val="000000"/>
          <w:kern w:val="0"/>
          <w:sz w:val="32"/>
          <w:szCs w:val="32"/>
        </w:rPr>
        <w:t>开采总量管理。</w:t>
      </w:r>
      <w:r>
        <w:rPr>
          <w:rFonts w:hint="eastAsia" w:ascii="仿宋_GB2312" w:eastAsia="仿宋_GB2312"/>
          <w:snapToGrid w:val="0"/>
          <w:color w:val="000000"/>
          <w:kern w:val="0"/>
          <w:sz w:val="32"/>
          <w:szCs w:val="32"/>
        </w:rPr>
        <w:t>实施开采总量管理，合理进行开采布局，强化矿山资源量动态管理和矿山产能管理，禁止矿山超生产规模开采。统筹调整砂石资源供给，稳定矿产品价格，满足社会经济发展，提高矿山效益，提升砂石资源保障能力，落实煤炭“去产能”及采深超千米冲击地压退出政策，落实省年度开采总量指标。调整产业结构，转换煤炭开采利用方式，促进洁净煤生产、煤变气工艺进程。</w:t>
      </w:r>
    </w:p>
    <w:p>
      <w:pPr>
        <w:spacing w:line="560" w:lineRule="exact"/>
        <w:ind w:firstLine="640" w:firstLineChars="200"/>
        <w:rPr>
          <w:rFonts w:ascii="仿宋_GB2312" w:eastAsia="仿宋_GB2312"/>
          <w:snapToGrid w:val="0"/>
          <w:color w:val="000000"/>
          <w:kern w:val="0"/>
          <w:sz w:val="32"/>
          <w:szCs w:val="32"/>
        </w:rPr>
      </w:pPr>
      <w:r>
        <w:rPr>
          <w:rFonts w:hint="eastAsia" w:ascii="仿宋_GB2312" w:eastAsia="仿宋_GB2312"/>
          <w:snapToGrid w:val="0"/>
          <w:color w:val="000000"/>
          <w:kern w:val="0"/>
          <w:sz w:val="32"/>
          <w:szCs w:val="32"/>
        </w:rPr>
        <w:t>固体矿产资源主要矿产开发总量调控约</w:t>
      </w:r>
      <w:r>
        <w:rPr>
          <w:rFonts w:ascii="仿宋_GB2312" w:eastAsia="仿宋_GB2312"/>
          <w:snapToGrid w:val="0"/>
          <w:color w:val="000000"/>
          <w:kern w:val="0"/>
          <w:sz w:val="32"/>
          <w:szCs w:val="32"/>
        </w:rPr>
        <w:t>2800</w:t>
      </w:r>
      <w:r>
        <w:rPr>
          <w:rFonts w:hint="eastAsia" w:ascii="仿宋_GB2312" w:eastAsia="仿宋_GB2312"/>
          <w:snapToGrid w:val="0"/>
          <w:color w:val="000000"/>
          <w:kern w:val="0"/>
          <w:sz w:val="32"/>
          <w:szCs w:val="32"/>
        </w:rPr>
        <w:t>万吨左右，其中煤矿</w:t>
      </w:r>
      <w:r>
        <w:rPr>
          <w:rFonts w:ascii="仿宋_GB2312" w:eastAsia="仿宋_GB2312"/>
          <w:snapToGrid w:val="0"/>
          <w:color w:val="000000"/>
          <w:kern w:val="0"/>
          <w:sz w:val="32"/>
          <w:szCs w:val="32"/>
        </w:rPr>
        <w:t>1300</w:t>
      </w:r>
      <w:r>
        <w:rPr>
          <w:rFonts w:hint="eastAsia" w:ascii="仿宋_GB2312" w:eastAsia="仿宋_GB2312"/>
          <w:snapToGrid w:val="0"/>
          <w:color w:val="000000"/>
          <w:kern w:val="0"/>
          <w:sz w:val="32"/>
          <w:szCs w:val="32"/>
        </w:rPr>
        <w:t>万吨左右、水泥用灰岩</w:t>
      </w:r>
      <w:r>
        <w:rPr>
          <w:rFonts w:ascii="仿宋_GB2312" w:eastAsia="仿宋_GB2312"/>
          <w:snapToGrid w:val="0"/>
          <w:color w:val="000000"/>
          <w:kern w:val="0"/>
          <w:sz w:val="32"/>
          <w:szCs w:val="32"/>
        </w:rPr>
        <w:t>600</w:t>
      </w:r>
      <w:r>
        <w:rPr>
          <w:rFonts w:hint="eastAsia" w:ascii="仿宋_GB2312" w:eastAsia="仿宋_GB2312"/>
          <w:snapToGrid w:val="0"/>
          <w:color w:val="000000"/>
          <w:kern w:val="0"/>
          <w:sz w:val="32"/>
          <w:szCs w:val="32"/>
        </w:rPr>
        <w:t>万吨左右、建筑石料用灰岩</w:t>
      </w:r>
      <w:r>
        <w:rPr>
          <w:rFonts w:ascii="仿宋_GB2312" w:eastAsia="仿宋_GB2312"/>
          <w:snapToGrid w:val="0"/>
          <w:color w:val="000000"/>
          <w:kern w:val="0"/>
          <w:sz w:val="32"/>
          <w:szCs w:val="32"/>
        </w:rPr>
        <w:t>900</w:t>
      </w:r>
      <w:r>
        <w:rPr>
          <w:rFonts w:hint="eastAsia" w:ascii="仿宋_GB2312" w:eastAsia="仿宋_GB2312"/>
          <w:snapToGrid w:val="0"/>
          <w:color w:val="000000"/>
          <w:kern w:val="0"/>
          <w:sz w:val="32"/>
          <w:szCs w:val="32"/>
        </w:rPr>
        <w:t>万吨左右。开采总量为预期性总量调控指标。</w:t>
      </w:r>
    </w:p>
    <w:p>
      <w:pPr>
        <w:spacing w:line="560" w:lineRule="exact"/>
        <w:ind w:firstLine="642" w:firstLineChars="200"/>
        <w:rPr>
          <w:rFonts w:ascii="仿宋_GB2312" w:eastAsia="仿宋_GB2312"/>
          <w:snapToGrid w:val="0"/>
          <w:color w:val="000000"/>
          <w:kern w:val="0"/>
          <w:sz w:val="32"/>
          <w:szCs w:val="32"/>
        </w:rPr>
      </w:pPr>
      <w:r>
        <w:rPr>
          <w:rFonts w:ascii="仿宋_GB2312" w:hAnsi="仿宋" w:eastAsia="仿宋_GB2312"/>
          <w:b/>
          <w:snapToGrid w:val="0"/>
          <w:color w:val="000000"/>
          <w:kern w:val="0"/>
          <w:sz w:val="32"/>
          <w:szCs w:val="32"/>
        </w:rPr>
        <w:t>2.</w:t>
      </w:r>
      <w:r>
        <w:rPr>
          <w:rFonts w:hint="eastAsia" w:ascii="仿宋_GB2312" w:hAnsi="仿宋" w:eastAsia="仿宋_GB2312"/>
          <w:b/>
          <w:snapToGrid w:val="0"/>
          <w:color w:val="000000"/>
          <w:kern w:val="0"/>
          <w:sz w:val="32"/>
          <w:szCs w:val="32"/>
        </w:rPr>
        <w:t>矿山数量。</w:t>
      </w:r>
      <w:r>
        <w:rPr>
          <w:rFonts w:hint="eastAsia" w:ascii="仿宋_GB2312" w:eastAsia="仿宋_GB2312"/>
          <w:snapToGrid w:val="0"/>
          <w:color w:val="000000"/>
          <w:kern w:val="0"/>
          <w:sz w:val="32"/>
          <w:szCs w:val="32"/>
        </w:rPr>
        <w:t>新设矿山必须满足省和市矿产资源总体规划确定的最低开采规模要求，开采规模必须与矿区（矿床）储量规模相匹配，资源储量达不到设置条件和合理经济服务年限要求的不予设置和审批。引导矿山企业实施兼并联合，整合煤矿矿山数量，提高集约化、规模化开采能力。矿山数量控制在</w:t>
      </w:r>
      <w:r>
        <w:rPr>
          <w:rFonts w:ascii="仿宋_GB2312" w:eastAsia="仿宋_GB2312"/>
          <w:snapToGrid w:val="0"/>
          <w:color w:val="000000"/>
          <w:kern w:val="0"/>
          <w:sz w:val="32"/>
          <w:szCs w:val="32"/>
        </w:rPr>
        <w:t>17</w:t>
      </w:r>
      <w:r>
        <w:rPr>
          <w:rFonts w:hint="eastAsia" w:ascii="仿宋_GB2312" w:eastAsia="仿宋_GB2312"/>
          <w:snapToGrid w:val="0"/>
          <w:color w:val="000000"/>
          <w:kern w:val="0"/>
          <w:sz w:val="32"/>
          <w:szCs w:val="32"/>
        </w:rPr>
        <w:t>家，形成以大型矿山主体、集约规模开采的矿业新格局。</w:t>
      </w:r>
    </w:p>
    <w:p>
      <w:pPr>
        <w:pStyle w:val="4"/>
        <w:keepNext w:val="0"/>
        <w:keepLines w:val="0"/>
        <w:spacing w:before="0" w:after="0" w:line="560" w:lineRule="exact"/>
        <w:ind w:firstLine="640" w:firstLineChars="200"/>
        <w:jc w:val="both"/>
        <w:rPr>
          <w:rFonts w:ascii="楷体_GB2312" w:hAnsi="仿宋" w:eastAsia="楷体_GB2312"/>
          <w:b w:val="0"/>
          <w:snapToGrid w:val="0"/>
          <w:color w:val="000000"/>
          <w:kern w:val="0"/>
          <w:sz w:val="32"/>
        </w:rPr>
      </w:pPr>
      <w:bookmarkStart w:id="113" w:name="_Toc437262585"/>
      <w:bookmarkStart w:id="114" w:name="_Toc133399310"/>
      <w:r>
        <w:rPr>
          <w:rFonts w:hint="eastAsia" w:ascii="楷体_GB2312" w:hAnsi="仿宋" w:eastAsia="楷体_GB2312"/>
          <w:b w:val="0"/>
          <w:snapToGrid w:val="0"/>
          <w:color w:val="000000"/>
          <w:kern w:val="0"/>
          <w:sz w:val="32"/>
        </w:rPr>
        <w:t>（三）优化开发</w:t>
      </w:r>
      <w:bookmarkEnd w:id="113"/>
      <w:r>
        <w:rPr>
          <w:rFonts w:hint="eastAsia" w:ascii="楷体_GB2312" w:hAnsi="仿宋" w:eastAsia="楷体_GB2312"/>
          <w:b w:val="0"/>
          <w:snapToGrid w:val="0"/>
          <w:color w:val="000000"/>
          <w:kern w:val="0"/>
          <w:sz w:val="32"/>
        </w:rPr>
        <w:t>利用结构</w:t>
      </w:r>
      <w:bookmarkEnd w:id="114"/>
    </w:p>
    <w:p>
      <w:pPr>
        <w:pStyle w:val="4"/>
        <w:keepNext w:val="0"/>
        <w:keepLines w:val="0"/>
        <w:spacing w:before="0" w:after="0" w:line="560" w:lineRule="exact"/>
        <w:ind w:firstLine="642" w:firstLineChars="200"/>
        <w:jc w:val="both"/>
        <w:rPr>
          <w:rFonts w:ascii="仿宋_GB2312" w:hAnsi="仿宋" w:eastAsia="仿宋_GB2312"/>
          <w:snapToGrid w:val="0"/>
          <w:color w:val="000000"/>
          <w:kern w:val="0"/>
          <w:sz w:val="32"/>
        </w:rPr>
      </w:pPr>
      <w:r>
        <w:rPr>
          <w:rFonts w:ascii="仿宋_GB2312" w:hAnsi="仿宋" w:eastAsia="仿宋_GB2312"/>
          <w:snapToGrid w:val="0"/>
          <w:color w:val="000000"/>
          <w:kern w:val="0"/>
          <w:sz w:val="32"/>
        </w:rPr>
        <w:t>1.</w:t>
      </w:r>
      <w:r>
        <w:rPr>
          <w:rFonts w:hint="eastAsia" w:ascii="仿宋_GB2312" w:hAnsi="仿宋" w:eastAsia="仿宋_GB2312"/>
          <w:snapToGrid w:val="0"/>
          <w:color w:val="000000"/>
          <w:kern w:val="0"/>
          <w:sz w:val="32"/>
        </w:rPr>
        <w:t>矿山规模结构</w:t>
      </w:r>
    </w:p>
    <w:p>
      <w:pPr>
        <w:spacing w:line="560" w:lineRule="exact"/>
        <w:ind w:firstLine="640" w:firstLineChars="200"/>
        <w:rPr>
          <w:rFonts w:ascii="仿宋_GB2312" w:eastAsia="仿宋_GB2312"/>
          <w:snapToGrid w:val="0"/>
          <w:color w:val="000000"/>
          <w:kern w:val="0"/>
          <w:sz w:val="32"/>
          <w:szCs w:val="32"/>
        </w:rPr>
      </w:pPr>
      <w:r>
        <w:rPr>
          <w:rFonts w:hint="eastAsia" w:ascii="仿宋_GB2312" w:eastAsia="仿宋_GB2312"/>
          <w:snapToGrid w:val="0"/>
          <w:color w:val="000000"/>
          <w:kern w:val="0"/>
          <w:sz w:val="32"/>
          <w:szCs w:val="32"/>
        </w:rPr>
        <w:t>新建建筑石料矿山规模必须达到大型以上。制定现有小型矿山整合提升或到期关闭政策，引导矿山企业实施兼并联合，推动矿产资源向优势企业集聚，推进大型矿业集团建设，培育产业集群。进一步优化资源配置，推进规模化开采、集约化经营，到</w:t>
      </w:r>
      <w:r>
        <w:rPr>
          <w:rFonts w:ascii="仿宋_GB2312" w:eastAsia="仿宋_GB2312"/>
          <w:snapToGrid w:val="0"/>
          <w:color w:val="000000"/>
          <w:kern w:val="0"/>
          <w:sz w:val="32"/>
          <w:szCs w:val="32"/>
        </w:rPr>
        <w:t>2025</w:t>
      </w:r>
      <w:r>
        <w:rPr>
          <w:rFonts w:hint="eastAsia" w:ascii="仿宋_GB2312" w:eastAsia="仿宋_GB2312"/>
          <w:snapToGrid w:val="0"/>
          <w:color w:val="000000"/>
          <w:kern w:val="0"/>
          <w:sz w:val="32"/>
          <w:szCs w:val="32"/>
        </w:rPr>
        <w:t>年底，全市大中型矿山比例不低于</w:t>
      </w:r>
      <w:r>
        <w:rPr>
          <w:rFonts w:ascii="仿宋_GB2312" w:eastAsia="仿宋_GB2312"/>
          <w:snapToGrid w:val="0"/>
          <w:color w:val="000000"/>
          <w:kern w:val="0"/>
          <w:sz w:val="32"/>
          <w:szCs w:val="32"/>
        </w:rPr>
        <w:t>90%</w:t>
      </w:r>
      <w:r>
        <w:rPr>
          <w:rFonts w:hint="eastAsia" w:ascii="仿宋_GB2312" w:eastAsia="仿宋_GB2312"/>
          <w:snapToGrid w:val="0"/>
          <w:color w:val="000000"/>
          <w:kern w:val="0"/>
          <w:sz w:val="32"/>
          <w:szCs w:val="32"/>
        </w:rPr>
        <w:t>。</w:t>
      </w:r>
    </w:p>
    <w:p>
      <w:pPr>
        <w:spacing w:line="560" w:lineRule="exact"/>
        <w:ind w:firstLine="642" w:firstLineChars="200"/>
        <w:rPr>
          <w:rFonts w:ascii="仿宋_GB2312" w:hAnsi="仿宋" w:eastAsia="仿宋_GB2312"/>
          <w:b/>
          <w:snapToGrid w:val="0"/>
          <w:color w:val="000000"/>
          <w:kern w:val="0"/>
          <w:sz w:val="32"/>
          <w:szCs w:val="32"/>
        </w:rPr>
      </w:pPr>
      <w:r>
        <w:rPr>
          <w:rFonts w:ascii="仿宋_GB2312" w:hAnsi="仿宋" w:eastAsia="仿宋_GB2312"/>
          <w:b/>
          <w:snapToGrid w:val="0"/>
          <w:color w:val="000000"/>
          <w:kern w:val="0"/>
          <w:sz w:val="32"/>
          <w:szCs w:val="32"/>
        </w:rPr>
        <w:t>2.</w:t>
      </w:r>
      <w:r>
        <w:rPr>
          <w:rFonts w:hint="eastAsia" w:ascii="仿宋_GB2312" w:hAnsi="仿宋" w:eastAsia="仿宋_GB2312"/>
          <w:b/>
          <w:snapToGrid w:val="0"/>
          <w:color w:val="000000"/>
          <w:kern w:val="0"/>
          <w:sz w:val="32"/>
          <w:szCs w:val="32"/>
        </w:rPr>
        <w:t>开发利用结构</w:t>
      </w:r>
    </w:p>
    <w:p>
      <w:pPr>
        <w:spacing w:line="560" w:lineRule="exact"/>
        <w:ind w:firstLine="642" w:firstLineChars="200"/>
        <w:rPr>
          <w:rFonts w:ascii="仿宋_GB2312" w:eastAsia="仿宋_GB2312"/>
          <w:b/>
          <w:snapToGrid w:val="0"/>
          <w:color w:val="000000"/>
          <w:kern w:val="0"/>
          <w:sz w:val="32"/>
          <w:szCs w:val="32"/>
        </w:rPr>
      </w:pPr>
      <w:r>
        <w:rPr>
          <w:rFonts w:hint="eastAsia" w:ascii="仿宋_GB2312" w:eastAsia="仿宋_GB2312"/>
          <w:b/>
          <w:snapToGrid w:val="0"/>
          <w:color w:val="000000"/>
          <w:kern w:val="0"/>
          <w:sz w:val="32"/>
          <w:szCs w:val="32"/>
        </w:rPr>
        <w:t>（</w:t>
      </w:r>
      <w:r>
        <w:rPr>
          <w:rFonts w:ascii="仿宋_GB2312" w:eastAsia="仿宋_GB2312"/>
          <w:b/>
          <w:snapToGrid w:val="0"/>
          <w:color w:val="000000"/>
          <w:kern w:val="0"/>
          <w:sz w:val="32"/>
          <w:szCs w:val="32"/>
        </w:rPr>
        <w:t>1</w:t>
      </w:r>
      <w:r>
        <w:rPr>
          <w:rFonts w:hint="eastAsia" w:ascii="仿宋_GB2312" w:eastAsia="仿宋_GB2312"/>
          <w:b/>
          <w:snapToGrid w:val="0"/>
          <w:color w:val="000000"/>
          <w:kern w:val="0"/>
          <w:sz w:val="32"/>
          <w:szCs w:val="32"/>
        </w:rPr>
        <w:t>）推广先进适用技术</w:t>
      </w:r>
    </w:p>
    <w:p>
      <w:pPr>
        <w:spacing w:line="560" w:lineRule="exact"/>
        <w:ind w:firstLine="640" w:firstLineChars="200"/>
        <w:rPr>
          <w:rFonts w:ascii="仿宋_GB2312" w:eastAsia="仿宋_GB2312"/>
          <w:snapToGrid w:val="0"/>
          <w:color w:val="000000"/>
          <w:kern w:val="0"/>
          <w:sz w:val="32"/>
          <w:szCs w:val="32"/>
        </w:rPr>
      </w:pPr>
      <w:r>
        <w:rPr>
          <w:rFonts w:hint="eastAsia" w:ascii="仿宋_GB2312" w:eastAsia="仿宋_GB2312"/>
          <w:snapToGrid w:val="0"/>
          <w:color w:val="000000"/>
          <w:kern w:val="0"/>
          <w:sz w:val="32"/>
          <w:szCs w:val="32"/>
        </w:rPr>
        <w:t>加强政府引导，推广先进适用技术和科学管理模式，严格执行“三率”考核，进一步提高矿产资源利用水平，共伴生矿产资源、固体废弃物综合利用率显著提高，推动本地矿业企业参与境外矿产资源开发，培育具有国际竞争力的大型矿业集团。煤矿企业积极推广膏体充填、煤矸石井下充填置换煤、薄煤层综采等技术，实现煤气化、煤液化和煤焦化，提高资源回收率、减少地表沉降。</w:t>
      </w:r>
    </w:p>
    <w:p>
      <w:pPr>
        <w:spacing w:line="560" w:lineRule="exact"/>
        <w:ind w:firstLine="640" w:firstLineChars="200"/>
        <w:rPr>
          <w:rFonts w:ascii="仿宋_GB2312" w:hAnsi="宋体" w:eastAsia="仿宋_GB2312"/>
          <w:bCs/>
          <w:snapToGrid w:val="0"/>
          <w:color w:val="000000"/>
          <w:kern w:val="0"/>
          <w:sz w:val="32"/>
          <w:szCs w:val="32"/>
        </w:rPr>
      </w:pPr>
      <w:r>
        <w:rPr>
          <w:rFonts w:hint="eastAsia" w:ascii="仿宋_GB2312" w:eastAsia="仿宋_GB2312"/>
          <w:snapToGrid w:val="0"/>
          <w:color w:val="000000"/>
          <w:kern w:val="0"/>
          <w:sz w:val="32"/>
          <w:szCs w:val="32"/>
        </w:rPr>
        <w:t>露天开采的非金属矿山必须严格实行台阶式开采和作业规范。砂石资源开发利用积极推行“整体出让、整体开发”模式，积极培育和发展大型砂石资源生产基地，提升规模化开采水平，发展壮大机制砂石企业。有粉尘污染的非金属矿产品加工必须进厂房封闭除尘作业，生产环节必须达到安全、环保、运输等部门规定的技术标准。</w:t>
      </w:r>
    </w:p>
    <w:p>
      <w:pPr>
        <w:spacing w:line="560" w:lineRule="exact"/>
        <w:ind w:firstLine="642" w:firstLineChars="200"/>
        <w:rPr>
          <w:rFonts w:ascii="仿宋_GB2312" w:eastAsia="仿宋_GB2312"/>
          <w:b/>
          <w:snapToGrid w:val="0"/>
          <w:color w:val="000000"/>
          <w:kern w:val="0"/>
          <w:sz w:val="32"/>
          <w:szCs w:val="32"/>
        </w:rPr>
      </w:pPr>
      <w:r>
        <w:rPr>
          <w:rFonts w:hint="eastAsia" w:ascii="仿宋_GB2312" w:eastAsia="仿宋_GB2312"/>
          <w:b/>
          <w:snapToGrid w:val="0"/>
          <w:color w:val="000000"/>
          <w:kern w:val="0"/>
          <w:sz w:val="32"/>
          <w:szCs w:val="32"/>
        </w:rPr>
        <w:t>（</w:t>
      </w:r>
      <w:r>
        <w:rPr>
          <w:rFonts w:ascii="仿宋_GB2312" w:eastAsia="仿宋_GB2312"/>
          <w:b/>
          <w:snapToGrid w:val="0"/>
          <w:color w:val="000000"/>
          <w:kern w:val="0"/>
          <w:sz w:val="32"/>
          <w:szCs w:val="32"/>
        </w:rPr>
        <w:t>2</w:t>
      </w:r>
      <w:r>
        <w:rPr>
          <w:rFonts w:hint="eastAsia" w:ascii="仿宋_GB2312" w:eastAsia="仿宋_GB2312"/>
          <w:b/>
          <w:snapToGrid w:val="0"/>
          <w:color w:val="000000"/>
          <w:kern w:val="0"/>
          <w:sz w:val="32"/>
          <w:szCs w:val="32"/>
        </w:rPr>
        <w:t>）调整产品结构</w:t>
      </w:r>
    </w:p>
    <w:p>
      <w:pPr>
        <w:spacing w:line="560" w:lineRule="exact"/>
        <w:ind w:firstLine="640" w:firstLineChars="200"/>
        <w:rPr>
          <w:rFonts w:ascii="仿宋_GB2312" w:eastAsia="仿宋_GB2312"/>
          <w:snapToGrid w:val="0"/>
          <w:color w:val="000000"/>
          <w:kern w:val="0"/>
          <w:sz w:val="32"/>
          <w:szCs w:val="32"/>
        </w:rPr>
      </w:pPr>
      <w:r>
        <w:rPr>
          <w:rFonts w:hint="eastAsia" w:ascii="仿宋_GB2312" w:eastAsia="仿宋_GB2312"/>
          <w:snapToGrid w:val="0"/>
          <w:color w:val="000000"/>
          <w:kern w:val="0"/>
          <w:sz w:val="32"/>
          <w:szCs w:val="32"/>
        </w:rPr>
        <w:t>以改造提升传统产业的关键技术为中心，加大科技创新力度，鼓励企业面向自身需求和发展需要，提升自主创新能力，重点支持矿业发展迫切需要解决的关键、共性、配套、关联度大的技术和有利于提高竞争力的高附加值产品的研究与开发，升级矿山开采、选矿、加工工艺、技术装备，增强精深加工矿产品生产能力，促进矿业产业链现代化。</w:t>
      </w:r>
    </w:p>
    <w:p>
      <w:pPr>
        <w:spacing w:line="560" w:lineRule="exact"/>
        <w:ind w:firstLine="640" w:firstLineChars="200"/>
        <w:rPr>
          <w:rFonts w:ascii="仿宋_GB2312" w:eastAsia="仿宋_GB2312"/>
          <w:snapToGrid w:val="0"/>
          <w:color w:val="000000"/>
          <w:kern w:val="0"/>
          <w:sz w:val="32"/>
          <w:szCs w:val="32"/>
        </w:rPr>
      </w:pPr>
      <w:r>
        <w:rPr>
          <w:rFonts w:hint="eastAsia" w:ascii="仿宋_GB2312" w:eastAsia="仿宋_GB2312"/>
          <w:snapToGrid w:val="0"/>
          <w:color w:val="000000"/>
          <w:kern w:val="0"/>
          <w:sz w:val="32"/>
          <w:szCs w:val="32"/>
        </w:rPr>
        <w:t>加快融入网络经济，提高劳动力素质，高效利用矿产资源，逐步实现矿山企业“互联网+”的物联网运行模式。</w:t>
      </w:r>
    </w:p>
    <w:p>
      <w:pPr>
        <w:spacing w:line="560" w:lineRule="exact"/>
        <w:ind w:firstLine="642" w:firstLineChars="200"/>
        <w:rPr>
          <w:rFonts w:ascii="仿宋_GB2312" w:hAnsi="仿宋" w:eastAsia="仿宋_GB2312"/>
          <w:b/>
          <w:snapToGrid w:val="0"/>
          <w:color w:val="000000"/>
          <w:kern w:val="0"/>
          <w:sz w:val="32"/>
          <w:szCs w:val="32"/>
        </w:rPr>
      </w:pPr>
      <w:r>
        <w:rPr>
          <w:rFonts w:ascii="仿宋_GB2312" w:hAnsi="仿宋" w:eastAsia="仿宋_GB2312"/>
          <w:b/>
          <w:snapToGrid w:val="0"/>
          <w:color w:val="000000"/>
          <w:kern w:val="0"/>
          <w:sz w:val="32"/>
          <w:szCs w:val="32"/>
        </w:rPr>
        <w:t>3.</w:t>
      </w:r>
      <w:r>
        <w:rPr>
          <w:rFonts w:hint="eastAsia" w:ascii="仿宋_GB2312" w:hAnsi="仿宋" w:eastAsia="仿宋_GB2312"/>
          <w:b/>
          <w:snapToGrid w:val="0"/>
          <w:color w:val="000000"/>
          <w:kern w:val="0"/>
          <w:sz w:val="32"/>
          <w:szCs w:val="32"/>
        </w:rPr>
        <w:t>新建矿山最低开采规模</w:t>
      </w:r>
    </w:p>
    <w:p>
      <w:pPr>
        <w:spacing w:line="560" w:lineRule="exact"/>
        <w:ind w:firstLine="640" w:firstLineChars="200"/>
        <w:rPr>
          <w:rFonts w:ascii="仿宋_GB2312" w:eastAsia="仿宋_GB2312"/>
          <w:snapToGrid w:val="0"/>
          <w:color w:val="000000"/>
          <w:kern w:val="0"/>
          <w:sz w:val="32"/>
          <w:szCs w:val="32"/>
        </w:rPr>
      </w:pPr>
      <w:r>
        <w:rPr>
          <w:rFonts w:hint="eastAsia" w:ascii="仿宋_GB2312" w:eastAsia="仿宋_GB2312"/>
          <w:snapToGrid w:val="0"/>
          <w:color w:val="000000"/>
          <w:kern w:val="0"/>
          <w:sz w:val="32"/>
          <w:szCs w:val="32"/>
        </w:rPr>
        <w:t>坚持矿山设计开采规模与矿区储量规模相适应的原则，新建矿山严格执行规划确定的矿山开采最低规模标准。规划期内，新建矿山生产规模不低于：建筑石料用灰岩</w:t>
      </w:r>
      <w:r>
        <w:rPr>
          <w:rFonts w:ascii="仿宋_GB2312" w:eastAsia="仿宋_GB2312"/>
          <w:snapToGrid w:val="0"/>
          <w:color w:val="000000"/>
          <w:kern w:val="0"/>
          <w:sz w:val="32"/>
          <w:szCs w:val="32"/>
        </w:rPr>
        <w:t>100</w:t>
      </w:r>
      <w:r>
        <w:rPr>
          <w:rFonts w:hint="eastAsia" w:ascii="仿宋_GB2312" w:eastAsia="仿宋_GB2312"/>
          <w:snapToGrid w:val="0"/>
          <w:color w:val="000000"/>
          <w:kern w:val="0"/>
          <w:sz w:val="32"/>
          <w:szCs w:val="32"/>
        </w:rPr>
        <w:t>万吨</w:t>
      </w:r>
      <w:r>
        <w:rPr>
          <w:rFonts w:ascii="仿宋_GB2312" w:eastAsia="仿宋_GB2312"/>
          <w:snapToGrid w:val="0"/>
          <w:color w:val="000000"/>
          <w:kern w:val="0"/>
          <w:sz w:val="32"/>
          <w:szCs w:val="32"/>
        </w:rPr>
        <w:t>/</w:t>
      </w:r>
      <w:r>
        <w:rPr>
          <w:rFonts w:hint="eastAsia" w:ascii="仿宋_GB2312" w:eastAsia="仿宋_GB2312"/>
          <w:snapToGrid w:val="0"/>
          <w:color w:val="000000"/>
          <w:kern w:val="0"/>
          <w:sz w:val="32"/>
          <w:szCs w:val="32"/>
        </w:rPr>
        <w:t>年且矿山服务年限原则上不少于</w:t>
      </w:r>
      <w:r>
        <w:rPr>
          <w:rFonts w:ascii="仿宋_GB2312" w:eastAsia="仿宋_GB2312"/>
          <w:snapToGrid w:val="0"/>
          <w:color w:val="000000"/>
          <w:kern w:val="0"/>
          <w:sz w:val="32"/>
          <w:szCs w:val="32"/>
        </w:rPr>
        <w:t>10</w:t>
      </w:r>
      <w:r>
        <w:rPr>
          <w:rFonts w:hint="eastAsia" w:ascii="仿宋_GB2312" w:eastAsia="仿宋_GB2312"/>
          <w:snapToGrid w:val="0"/>
          <w:color w:val="000000"/>
          <w:kern w:val="0"/>
          <w:sz w:val="32"/>
          <w:szCs w:val="32"/>
        </w:rPr>
        <w:t>年，冶金（熔剂）用白云岩</w:t>
      </w:r>
      <w:r>
        <w:rPr>
          <w:rFonts w:ascii="仿宋_GB2312" w:eastAsia="仿宋_GB2312"/>
          <w:snapToGrid w:val="0"/>
          <w:color w:val="000000"/>
          <w:kern w:val="0"/>
          <w:sz w:val="32"/>
          <w:szCs w:val="32"/>
        </w:rPr>
        <w:t>50</w:t>
      </w:r>
      <w:r>
        <w:rPr>
          <w:rFonts w:hint="eastAsia" w:ascii="仿宋_GB2312" w:eastAsia="仿宋_GB2312"/>
          <w:snapToGrid w:val="0"/>
          <w:color w:val="000000"/>
          <w:kern w:val="0"/>
          <w:sz w:val="32"/>
          <w:szCs w:val="32"/>
        </w:rPr>
        <w:t>万吨</w:t>
      </w:r>
      <w:r>
        <w:rPr>
          <w:rFonts w:ascii="仿宋_GB2312" w:eastAsia="仿宋_GB2312"/>
          <w:snapToGrid w:val="0"/>
          <w:color w:val="000000"/>
          <w:kern w:val="0"/>
          <w:sz w:val="32"/>
          <w:szCs w:val="32"/>
        </w:rPr>
        <w:t>/</w:t>
      </w:r>
      <w:r>
        <w:rPr>
          <w:rFonts w:hint="eastAsia" w:ascii="仿宋_GB2312" w:eastAsia="仿宋_GB2312"/>
          <w:snapToGrid w:val="0"/>
          <w:color w:val="000000"/>
          <w:kern w:val="0"/>
          <w:sz w:val="32"/>
          <w:szCs w:val="32"/>
        </w:rPr>
        <w:t>年，地热不低于3万立方米/年，其他矿种新建矿山生产规模按省规划确定的最低开采规模要求执行。</w:t>
      </w:r>
    </w:p>
    <w:p>
      <w:pPr>
        <w:pStyle w:val="4"/>
        <w:keepNext w:val="0"/>
        <w:keepLines w:val="0"/>
        <w:spacing w:before="0" w:after="0" w:line="560" w:lineRule="exact"/>
        <w:ind w:firstLine="640" w:firstLineChars="200"/>
        <w:jc w:val="both"/>
        <w:rPr>
          <w:rFonts w:ascii="楷体_GB2312" w:hAnsi="仿宋" w:eastAsia="楷体_GB2312"/>
          <w:b w:val="0"/>
          <w:snapToGrid w:val="0"/>
          <w:color w:val="000000"/>
          <w:kern w:val="0"/>
          <w:sz w:val="32"/>
        </w:rPr>
      </w:pPr>
      <w:bookmarkStart w:id="115" w:name="_Toc133399311"/>
      <w:bookmarkStart w:id="116" w:name="_Toc437262586"/>
      <w:r>
        <w:rPr>
          <w:rFonts w:hint="eastAsia" w:ascii="楷体_GB2312" w:hAnsi="仿宋" w:eastAsia="楷体_GB2312"/>
          <w:b w:val="0"/>
          <w:snapToGrid w:val="0"/>
          <w:color w:val="000000"/>
          <w:kern w:val="0"/>
          <w:sz w:val="32"/>
        </w:rPr>
        <w:t>（四）严格规划准入管理</w:t>
      </w:r>
      <w:bookmarkEnd w:id="115"/>
      <w:bookmarkEnd w:id="116"/>
    </w:p>
    <w:p>
      <w:pPr>
        <w:spacing w:line="560" w:lineRule="exact"/>
        <w:ind w:firstLine="640" w:firstLineChars="200"/>
        <w:rPr>
          <w:rFonts w:ascii="仿宋_GB2312" w:eastAsia="仿宋_GB2312"/>
          <w:snapToGrid w:val="0"/>
          <w:color w:val="000000"/>
          <w:kern w:val="0"/>
          <w:sz w:val="32"/>
          <w:szCs w:val="32"/>
        </w:rPr>
      </w:pPr>
      <w:r>
        <w:rPr>
          <w:rFonts w:hint="eastAsia" w:ascii="仿宋_GB2312" w:eastAsia="仿宋_GB2312"/>
          <w:snapToGrid w:val="0"/>
          <w:color w:val="000000"/>
          <w:kern w:val="0"/>
          <w:sz w:val="32"/>
          <w:szCs w:val="32"/>
        </w:rPr>
        <w:t>绿色勘查：执行山东省《绿色勘查规范》及《山东省绿色勘查技术要求（试行）》要求，全过程实施绿色勘查。</w:t>
      </w:r>
    </w:p>
    <w:p>
      <w:pPr>
        <w:spacing w:line="560" w:lineRule="exact"/>
        <w:ind w:firstLine="640" w:firstLineChars="200"/>
        <w:rPr>
          <w:rFonts w:ascii="仿宋_GB2312" w:eastAsia="仿宋_GB2312"/>
          <w:snapToGrid w:val="0"/>
          <w:color w:val="000000"/>
          <w:kern w:val="0"/>
          <w:sz w:val="32"/>
          <w:szCs w:val="32"/>
        </w:rPr>
      </w:pPr>
      <w:r>
        <w:rPr>
          <w:rFonts w:hint="eastAsia" w:ascii="仿宋_GB2312" w:eastAsia="仿宋_GB2312"/>
          <w:snapToGrid w:val="0"/>
          <w:color w:val="000000"/>
          <w:kern w:val="0"/>
          <w:sz w:val="32"/>
          <w:szCs w:val="32"/>
        </w:rPr>
        <w:t>资源条件：资源储量及其类别必须满足开采设计要求。</w:t>
      </w:r>
    </w:p>
    <w:p>
      <w:pPr>
        <w:spacing w:line="560" w:lineRule="exact"/>
        <w:ind w:firstLine="640" w:firstLineChars="200"/>
        <w:rPr>
          <w:rFonts w:ascii="仿宋_GB2312" w:eastAsia="仿宋_GB2312"/>
          <w:snapToGrid w:val="0"/>
          <w:color w:val="000000"/>
          <w:kern w:val="0"/>
          <w:sz w:val="32"/>
          <w:szCs w:val="32"/>
        </w:rPr>
      </w:pPr>
      <w:r>
        <w:rPr>
          <w:rFonts w:hint="eastAsia" w:ascii="仿宋_GB2312" w:eastAsia="仿宋_GB2312"/>
          <w:snapToGrid w:val="0"/>
          <w:color w:val="000000"/>
          <w:kern w:val="0"/>
          <w:sz w:val="32"/>
          <w:szCs w:val="32"/>
        </w:rPr>
        <w:t>开采规模条件：须满足最低开采规模及最低服务年限要求，矿山开采规模必须与矿区资源储量规模相适应。矿山建设须符合规模生产、集约经营的原则。</w:t>
      </w:r>
    </w:p>
    <w:p>
      <w:pPr>
        <w:spacing w:line="560" w:lineRule="exact"/>
        <w:ind w:firstLine="640" w:firstLineChars="200"/>
        <w:rPr>
          <w:rFonts w:ascii="仿宋_GB2312" w:eastAsia="仿宋_GB2312"/>
          <w:snapToGrid w:val="0"/>
          <w:color w:val="000000"/>
          <w:kern w:val="0"/>
          <w:sz w:val="32"/>
          <w:szCs w:val="32"/>
        </w:rPr>
      </w:pPr>
      <w:r>
        <w:rPr>
          <w:rFonts w:hint="eastAsia" w:ascii="仿宋_GB2312" w:eastAsia="仿宋_GB2312"/>
          <w:snapToGrid w:val="0"/>
          <w:color w:val="000000"/>
          <w:kern w:val="0"/>
          <w:sz w:val="32"/>
          <w:szCs w:val="32"/>
        </w:rPr>
        <w:t>技术经济条件：符合国家规定的矿产资源开发利用方案和矿山设计，开采方法、加工（选洗）工艺及相关设备必须符合规划限定要求，达到科学、先进、合理的生产水平，确保安全生产。</w:t>
      </w:r>
    </w:p>
    <w:p>
      <w:pPr>
        <w:spacing w:line="560" w:lineRule="exact"/>
        <w:ind w:firstLine="640" w:firstLineChars="200"/>
        <w:rPr>
          <w:rFonts w:ascii="仿宋_GB2312" w:eastAsia="仿宋_GB2312"/>
          <w:snapToGrid w:val="0"/>
          <w:color w:val="000000"/>
          <w:kern w:val="0"/>
          <w:sz w:val="32"/>
          <w:szCs w:val="32"/>
        </w:rPr>
      </w:pPr>
      <w:r>
        <w:rPr>
          <w:rFonts w:hint="eastAsia" w:ascii="仿宋_GB2312" w:eastAsia="仿宋_GB2312"/>
          <w:snapToGrid w:val="0"/>
          <w:color w:val="000000"/>
          <w:kern w:val="0"/>
          <w:sz w:val="32"/>
          <w:szCs w:val="32"/>
        </w:rPr>
        <w:t>绿色矿山建设：依据绿色矿山建设标准和条件，严格矿山准入管理，新建矿山全部达到绿色矿山建设要求，用绿色矿山建设标准规范矿产资源勘查、开发利用和环境保护各项活动，确保矿山实现资源合理开发、环境保护与社会和谐。</w:t>
      </w:r>
    </w:p>
    <w:p>
      <w:pPr>
        <w:spacing w:line="560" w:lineRule="exact"/>
        <w:ind w:firstLine="640" w:firstLineChars="200"/>
        <w:rPr>
          <w:rFonts w:ascii="仿宋_GB2312" w:eastAsia="仿宋_GB2312"/>
          <w:snapToGrid w:val="0"/>
          <w:color w:val="000000"/>
          <w:kern w:val="0"/>
          <w:sz w:val="32"/>
          <w:szCs w:val="32"/>
        </w:rPr>
      </w:pPr>
      <w:r>
        <w:rPr>
          <w:rFonts w:hint="eastAsia" w:ascii="仿宋_GB2312" w:eastAsia="仿宋_GB2312"/>
          <w:snapToGrid w:val="0"/>
          <w:color w:val="000000"/>
          <w:kern w:val="0"/>
          <w:sz w:val="32"/>
          <w:szCs w:val="32"/>
        </w:rPr>
        <w:t>生态保护修复：必须符合《滕州市国土空间规划》要求的生态环境保护准入条件。矿山地质环境保护、土地复垦及地质灾害防治等措施应符合国家有关规定，并与矿山建设同步实施。</w:t>
      </w:r>
    </w:p>
    <w:p>
      <w:pPr>
        <w:pStyle w:val="4"/>
        <w:keepNext w:val="0"/>
        <w:keepLines w:val="0"/>
        <w:spacing w:before="0" w:after="0" w:line="560" w:lineRule="exact"/>
        <w:ind w:firstLine="640" w:firstLineChars="200"/>
        <w:jc w:val="both"/>
        <w:rPr>
          <w:rFonts w:ascii="楷体_GB2312" w:hAnsi="仿宋" w:eastAsia="楷体_GB2312"/>
          <w:b w:val="0"/>
          <w:snapToGrid w:val="0"/>
          <w:color w:val="000000"/>
          <w:kern w:val="0"/>
          <w:sz w:val="32"/>
        </w:rPr>
      </w:pPr>
      <w:bookmarkStart w:id="117" w:name="_Toc133399312"/>
      <w:r>
        <w:rPr>
          <w:rFonts w:hint="eastAsia" w:ascii="楷体_GB2312" w:hAnsi="仿宋" w:eastAsia="楷体_GB2312"/>
          <w:b w:val="0"/>
          <w:snapToGrid w:val="0"/>
          <w:color w:val="000000"/>
          <w:kern w:val="0"/>
          <w:sz w:val="32"/>
        </w:rPr>
        <w:t>（五）开发利用保护条件</w:t>
      </w:r>
      <w:bookmarkEnd w:id="117"/>
    </w:p>
    <w:p>
      <w:pPr>
        <w:spacing w:line="560" w:lineRule="exact"/>
        <w:ind w:firstLine="640" w:firstLineChars="200"/>
        <w:rPr>
          <w:rFonts w:ascii="仿宋_GB2312" w:eastAsia="仿宋_GB2312"/>
          <w:snapToGrid w:val="0"/>
          <w:color w:val="000000"/>
          <w:kern w:val="0"/>
          <w:sz w:val="32"/>
          <w:szCs w:val="32"/>
        </w:rPr>
      </w:pPr>
      <w:r>
        <w:rPr>
          <w:rFonts w:hint="eastAsia" w:ascii="仿宋_GB2312" w:eastAsia="仿宋_GB2312"/>
          <w:snapToGrid w:val="0"/>
          <w:color w:val="000000"/>
          <w:kern w:val="0"/>
          <w:sz w:val="32"/>
          <w:szCs w:val="32"/>
        </w:rPr>
        <w:t>统筹做好矿产资源开发利用与生态修复。新建露天矿山要合理划定开采范围，做到最低开采标高与周边环境相适应，治理范围与矿区范围统筹一致，对可以整体开采的，不得分割划界，不宜整体开采的，原则上沿等高线划定矿权范围。实施采矿终了效果管控制度，合理确定开采方式和修复模式，纳入采矿权出让公告，实行前置管理和过程管控。将矿山开发利用方案和地质环境保护与土地复垦方案一并统筹编制，须结合矿区周边人文、生态产业等布局，科学规划采矿终了预期效果，推行“整体开发”“多阶缓坡”“一坡到底”等开采新模式。采、选工艺及设备必须科学、先进，“三率”指标需达到规定要求，对具有利用价值的废石、剥离物等要综合开采、综合利用。</w:t>
      </w:r>
      <w:bookmarkStart w:id="118" w:name="_Toc133399313"/>
    </w:p>
    <w:p>
      <w:pPr>
        <w:pStyle w:val="3"/>
        <w:keepNext w:val="0"/>
        <w:keepLines w:val="0"/>
        <w:spacing w:before="0" w:after="0" w:line="560" w:lineRule="exact"/>
        <w:ind w:firstLine="640" w:firstLineChars="200"/>
        <w:jc w:val="both"/>
        <w:rPr>
          <w:rFonts w:hAnsi="仿宋" w:eastAsia="黑体"/>
          <w:b w:val="0"/>
          <w:snapToGrid w:val="0"/>
          <w:color w:val="000000"/>
          <w:kern w:val="0"/>
          <w:szCs w:val="32"/>
        </w:rPr>
      </w:pPr>
      <w:r>
        <w:rPr>
          <w:rFonts w:hint="eastAsia" w:hAnsi="仿宋" w:eastAsia="黑体"/>
          <w:b w:val="0"/>
          <w:snapToGrid w:val="0"/>
          <w:color w:val="000000"/>
          <w:kern w:val="0"/>
          <w:szCs w:val="32"/>
        </w:rPr>
        <w:t>五、绿色矿山建设和矿区生态保护</w:t>
      </w:r>
      <w:bookmarkEnd w:id="118"/>
    </w:p>
    <w:bookmarkEnd w:id="109"/>
    <w:p>
      <w:pPr>
        <w:pStyle w:val="4"/>
        <w:keepNext w:val="0"/>
        <w:keepLines w:val="0"/>
        <w:spacing w:before="0" w:after="0" w:line="560" w:lineRule="exact"/>
        <w:ind w:firstLine="640" w:firstLineChars="200"/>
        <w:jc w:val="both"/>
        <w:rPr>
          <w:rFonts w:ascii="楷体_GB2312" w:hAnsi="仿宋" w:eastAsia="楷体_GB2312"/>
          <w:b w:val="0"/>
          <w:snapToGrid w:val="0"/>
          <w:color w:val="000000"/>
          <w:kern w:val="0"/>
          <w:sz w:val="32"/>
        </w:rPr>
      </w:pPr>
      <w:bookmarkStart w:id="119" w:name="_Toc133399314"/>
      <w:bookmarkStart w:id="120" w:name="OLE_LINK33"/>
      <w:bookmarkStart w:id="121" w:name="OLE_LINK49"/>
      <w:r>
        <w:rPr>
          <w:rFonts w:hint="eastAsia" w:ascii="楷体_GB2312" w:hAnsi="仿宋" w:eastAsia="楷体_GB2312"/>
          <w:b w:val="0"/>
          <w:snapToGrid w:val="0"/>
          <w:color w:val="000000"/>
          <w:kern w:val="0"/>
          <w:sz w:val="32"/>
        </w:rPr>
        <w:t>（一）绿色矿业发展示范区建设</w:t>
      </w:r>
      <w:bookmarkEnd w:id="119"/>
    </w:p>
    <w:p>
      <w:pPr>
        <w:spacing w:line="560" w:lineRule="exact"/>
        <w:ind w:firstLine="640" w:firstLineChars="200"/>
        <w:rPr>
          <w:rFonts w:ascii="仿宋_GB2312" w:eastAsia="仿宋_GB2312"/>
          <w:snapToGrid w:val="0"/>
          <w:color w:val="000000"/>
          <w:kern w:val="0"/>
          <w:sz w:val="32"/>
          <w:szCs w:val="32"/>
        </w:rPr>
      </w:pPr>
      <w:r>
        <w:rPr>
          <w:rFonts w:hint="eastAsia" w:ascii="仿宋_GB2312" w:eastAsia="仿宋_GB2312"/>
          <w:snapToGrid w:val="0"/>
          <w:color w:val="000000"/>
          <w:kern w:val="0"/>
          <w:sz w:val="32"/>
          <w:szCs w:val="32"/>
        </w:rPr>
        <w:t>按照政策引导、地方主体、突出特色、创新驱动、示范引领的原则，统筹生态保护与经济发展，优化矿山布局，调整矿业产业结构，全域推进绿色矿山建设，全面推进绿色勘查，统筹矿区生态环境综合整治，创新绿色发展管理机制，按照《山东省滕州市绿色矿业发展示范区建设方案》推进滕州绿色矿业发展示范区建设。将滕州打造成资源型城市在矿业领域生态文明建设的样板区，煤炭资源开采高效化、技术装备智能化的展示区，非煤资源开发利用集约化、矿地和谐模范区，矿产资源管理创新的先行区，引领带动矿业转型升级和绿色发展。</w:t>
      </w:r>
    </w:p>
    <w:p>
      <w:pPr>
        <w:spacing w:line="560" w:lineRule="exact"/>
        <w:ind w:firstLine="640" w:firstLineChars="200"/>
        <w:rPr>
          <w:rFonts w:ascii="仿宋_GB2312" w:eastAsia="仿宋_GB2312"/>
          <w:snapToGrid w:val="0"/>
          <w:color w:val="000000"/>
          <w:kern w:val="0"/>
          <w:sz w:val="32"/>
          <w:szCs w:val="32"/>
        </w:rPr>
      </w:pPr>
      <w:r>
        <w:rPr>
          <w:rFonts w:hint="eastAsia" w:ascii="仿宋_GB2312" w:eastAsia="仿宋_GB2312"/>
          <w:snapToGrid w:val="0"/>
          <w:color w:val="000000"/>
          <w:kern w:val="0"/>
          <w:sz w:val="32"/>
          <w:szCs w:val="32"/>
        </w:rPr>
        <w:t>扎实推进山体保护，合理利用山石资源，保护生态环境，促进经济社会可持续发展。将市域内</w:t>
      </w:r>
      <w:r>
        <w:rPr>
          <w:rFonts w:ascii="仿宋_GB2312" w:eastAsia="仿宋_GB2312"/>
          <w:snapToGrid w:val="0"/>
          <w:color w:val="000000"/>
          <w:kern w:val="0"/>
          <w:sz w:val="32"/>
          <w:szCs w:val="32"/>
        </w:rPr>
        <w:t>54</w:t>
      </w:r>
      <w:r>
        <w:rPr>
          <w:rFonts w:hint="eastAsia" w:ascii="仿宋_GB2312" w:eastAsia="仿宋_GB2312"/>
          <w:snapToGrid w:val="0"/>
          <w:color w:val="000000"/>
          <w:kern w:val="0"/>
          <w:sz w:val="32"/>
          <w:szCs w:val="32"/>
        </w:rPr>
        <w:t>座山体纳入保护名录，一级保护山体名录</w:t>
      </w:r>
      <w:r>
        <w:rPr>
          <w:rFonts w:ascii="仿宋_GB2312" w:eastAsia="仿宋_GB2312"/>
          <w:snapToGrid w:val="0"/>
          <w:color w:val="000000"/>
          <w:kern w:val="0"/>
          <w:sz w:val="32"/>
          <w:szCs w:val="32"/>
        </w:rPr>
        <w:t>26</w:t>
      </w:r>
      <w:r>
        <w:rPr>
          <w:rFonts w:hint="eastAsia" w:ascii="仿宋_GB2312" w:eastAsia="仿宋_GB2312"/>
          <w:snapToGrid w:val="0"/>
          <w:color w:val="000000"/>
          <w:kern w:val="0"/>
          <w:sz w:val="32"/>
          <w:szCs w:val="32"/>
        </w:rPr>
        <w:t>座，二级保护山体名录</w:t>
      </w:r>
      <w:r>
        <w:rPr>
          <w:rFonts w:ascii="仿宋_GB2312" w:eastAsia="仿宋_GB2312"/>
          <w:snapToGrid w:val="0"/>
          <w:color w:val="000000"/>
          <w:kern w:val="0"/>
          <w:sz w:val="32"/>
          <w:szCs w:val="32"/>
        </w:rPr>
        <w:t>28</w:t>
      </w:r>
      <w:r>
        <w:rPr>
          <w:rFonts w:hint="eastAsia" w:ascii="仿宋_GB2312" w:eastAsia="仿宋_GB2312"/>
          <w:snapToGrid w:val="0"/>
          <w:color w:val="000000"/>
          <w:kern w:val="0"/>
          <w:sz w:val="32"/>
          <w:szCs w:val="32"/>
        </w:rPr>
        <w:t>座，对山体保护进行勘测设桩工程界定。</w:t>
      </w:r>
    </w:p>
    <w:p>
      <w:pPr>
        <w:pStyle w:val="4"/>
        <w:keepNext w:val="0"/>
        <w:keepLines w:val="0"/>
        <w:spacing w:before="0" w:after="0" w:line="560" w:lineRule="exact"/>
        <w:ind w:firstLine="640" w:firstLineChars="200"/>
        <w:jc w:val="both"/>
        <w:rPr>
          <w:rFonts w:ascii="楷体_GB2312" w:hAnsi="仿宋" w:eastAsia="楷体_GB2312"/>
          <w:b w:val="0"/>
          <w:snapToGrid w:val="0"/>
          <w:color w:val="000000"/>
          <w:kern w:val="0"/>
          <w:sz w:val="32"/>
        </w:rPr>
      </w:pPr>
      <w:bookmarkStart w:id="122" w:name="_Toc133399315"/>
      <w:r>
        <w:rPr>
          <w:rFonts w:hint="eastAsia" w:ascii="楷体_GB2312" w:hAnsi="仿宋" w:eastAsia="楷体_GB2312"/>
          <w:b w:val="0"/>
          <w:snapToGrid w:val="0"/>
          <w:color w:val="000000"/>
          <w:kern w:val="0"/>
          <w:sz w:val="32"/>
        </w:rPr>
        <w:t>（二）绿色矿山建设</w:t>
      </w:r>
      <w:bookmarkEnd w:id="122"/>
    </w:p>
    <w:bookmarkEnd w:id="120"/>
    <w:p>
      <w:pPr>
        <w:spacing w:line="560" w:lineRule="exact"/>
        <w:ind w:firstLine="642" w:firstLineChars="200"/>
        <w:rPr>
          <w:rFonts w:ascii="仿宋_GB2312" w:eastAsia="仿宋_GB2312"/>
          <w:snapToGrid w:val="0"/>
          <w:color w:val="000000"/>
          <w:kern w:val="0"/>
          <w:sz w:val="32"/>
          <w:szCs w:val="32"/>
        </w:rPr>
      </w:pPr>
      <w:r>
        <w:rPr>
          <w:rFonts w:ascii="仿宋_GB2312" w:hAnsi="仿宋" w:eastAsia="仿宋_GB2312"/>
          <w:b/>
          <w:snapToGrid w:val="0"/>
          <w:color w:val="000000"/>
          <w:kern w:val="0"/>
          <w:sz w:val="32"/>
          <w:szCs w:val="32"/>
        </w:rPr>
        <w:t>1.</w:t>
      </w:r>
      <w:r>
        <w:rPr>
          <w:rFonts w:hint="eastAsia" w:ascii="仿宋_GB2312" w:hAnsi="仿宋" w:eastAsia="仿宋_GB2312"/>
          <w:b/>
          <w:snapToGrid w:val="0"/>
          <w:color w:val="000000"/>
          <w:kern w:val="0"/>
          <w:sz w:val="32"/>
          <w:szCs w:val="32"/>
        </w:rPr>
        <w:t>总体思路。</w:t>
      </w:r>
      <w:r>
        <w:rPr>
          <w:rFonts w:hint="eastAsia" w:ascii="仿宋_GB2312" w:eastAsia="仿宋_GB2312"/>
          <w:snapToGrid w:val="0"/>
          <w:color w:val="000000"/>
          <w:kern w:val="0"/>
          <w:sz w:val="32"/>
          <w:szCs w:val="32"/>
        </w:rPr>
        <w:t>绿色矿山建设，以实现矿产资源利用集约化、开发方式科学化、企业管理规范化、生产工艺环保化、矿山环境生态化，有序推进、分步实施，构建资源、环境和社会效益相协调的矿山发展模式。</w:t>
      </w:r>
    </w:p>
    <w:p>
      <w:pPr>
        <w:spacing w:line="560" w:lineRule="exact"/>
        <w:ind w:firstLine="642" w:firstLineChars="200"/>
        <w:rPr>
          <w:rFonts w:ascii="仿宋_GB2312" w:eastAsia="仿宋_GB2312"/>
          <w:snapToGrid w:val="0"/>
          <w:color w:val="000000"/>
          <w:kern w:val="0"/>
          <w:sz w:val="32"/>
          <w:szCs w:val="32"/>
        </w:rPr>
      </w:pPr>
      <w:r>
        <w:rPr>
          <w:rFonts w:ascii="仿宋_GB2312" w:hAnsi="仿宋" w:eastAsia="仿宋_GB2312"/>
          <w:b/>
          <w:snapToGrid w:val="0"/>
          <w:color w:val="000000"/>
          <w:kern w:val="0"/>
          <w:sz w:val="32"/>
          <w:szCs w:val="32"/>
        </w:rPr>
        <w:t>2.</w:t>
      </w:r>
      <w:r>
        <w:rPr>
          <w:rFonts w:hint="eastAsia" w:ascii="仿宋_GB2312" w:hAnsi="仿宋" w:eastAsia="仿宋_GB2312"/>
          <w:b/>
          <w:snapToGrid w:val="0"/>
          <w:color w:val="000000"/>
          <w:kern w:val="0"/>
          <w:sz w:val="32"/>
          <w:szCs w:val="32"/>
        </w:rPr>
        <w:t>目标任务。</w:t>
      </w:r>
      <w:r>
        <w:rPr>
          <w:rFonts w:hint="eastAsia" w:ascii="仿宋_GB2312" w:eastAsia="仿宋_GB2312"/>
          <w:snapToGrid w:val="0"/>
          <w:color w:val="000000"/>
          <w:kern w:val="0"/>
          <w:sz w:val="32"/>
          <w:szCs w:val="32"/>
        </w:rPr>
        <w:t>规划期内，新建矿山全部达到绿色矿山建设要求，制定了绿色矿山建设的时间表和建设路线图。鼓励并引导矿山整合重组，拉长产业链、提高矿产品的附加值和产业带动力，打造一批资源综合利用率高、经济效益和环境效益优良的品牌企业。</w:t>
      </w:r>
    </w:p>
    <w:p>
      <w:pPr>
        <w:spacing w:line="560" w:lineRule="exact"/>
        <w:ind w:firstLine="642" w:firstLineChars="200"/>
        <w:rPr>
          <w:rFonts w:ascii="仿宋_GB2312" w:eastAsia="仿宋_GB2312"/>
          <w:snapToGrid w:val="0"/>
          <w:color w:val="000000"/>
          <w:kern w:val="0"/>
          <w:sz w:val="32"/>
          <w:szCs w:val="32"/>
        </w:rPr>
      </w:pPr>
      <w:r>
        <w:rPr>
          <w:rFonts w:ascii="仿宋_GB2312" w:hAnsi="仿宋" w:eastAsia="仿宋_GB2312"/>
          <w:b/>
          <w:snapToGrid w:val="0"/>
          <w:color w:val="000000"/>
          <w:kern w:val="0"/>
          <w:sz w:val="32"/>
          <w:szCs w:val="32"/>
        </w:rPr>
        <w:t>3.</w:t>
      </w:r>
      <w:r>
        <w:rPr>
          <w:rFonts w:hint="eastAsia" w:ascii="仿宋_GB2312" w:hAnsi="仿宋" w:eastAsia="仿宋_GB2312"/>
          <w:b/>
          <w:snapToGrid w:val="0"/>
          <w:color w:val="000000"/>
          <w:kern w:val="0"/>
          <w:sz w:val="32"/>
          <w:szCs w:val="32"/>
        </w:rPr>
        <w:t>组织方式与进度安排。</w:t>
      </w:r>
      <w:r>
        <w:rPr>
          <w:rFonts w:hint="eastAsia" w:ascii="仿宋_GB2312" w:eastAsia="仿宋_GB2312"/>
          <w:snapToGrid w:val="0"/>
          <w:color w:val="000000"/>
          <w:kern w:val="0"/>
          <w:sz w:val="32"/>
          <w:szCs w:val="32"/>
        </w:rPr>
        <w:t>以市政府牵头，成立全市绿色矿山领导小组，建立市、镇（街道办）、企业三方联动机制。以绿色矿山建设规范标准为引领，加强绿色矿山建设技术服务单位技术指导，制定和完善“十四五”期间全市绿色矿山建设工作实施方案，加强考核及监督，挂图作战，倒排工期，以矿山企业为主导，全力推进绿色矿山建设工作，确保绿色矿山建设要求落到实处、取得实效。</w:t>
      </w:r>
    </w:p>
    <w:p>
      <w:pPr>
        <w:spacing w:line="560" w:lineRule="exact"/>
        <w:ind w:firstLine="640" w:firstLineChars="200"/>
        <w:rPr>
          <w:rFonts w:ascii="仿宋_GB2312" w:eastAsia="仿宋_GB2312"/>
          <w:snapToGrid w:val="0"/>
          <w:color w:val="000000"/>
          <w:kern w:val="0"/>
          <w:sz w:val="32"/>
          <w:szCs w:val="32"/>
        </w:rPr>
      </w:pPr>
      <w:r>
        <w:rPr>
          <w:rFonts w:hint="eastAsia" w:ascii="仿宋_GB2312" w:eastAsia="仿宋_GB2312"/>
          <w:snapToGrid w:val="0"/>
          <w:color w:val="000000"/>
          <w:kern w:val="0"/>
          <w:sz w:val="32"/>
          <w:szCs w:val="32"/>
        </w:rPr>
        <w:t>到</w:t>
      </w:r>
      <w:r>
        <w:rPr>
          <w:rFonts w:ascii="仿宋_GB2312" w:eastAsia="仿宋_GB2312"/>
          <w:snapToGrid w:val="0"/>
          <w:color w:val="000000"/>
          <w:kern w:val="0"/>
          <w:sz w:val="32"/>
          <w:szCs w:val="32"/>
        </w:rPr>
        <w:t>2025</w:t>
      </w:r>
      <w:r>
        <w:rPr>
          <w:rFonts w:hint="eastAsia" w:ascii="仿宋_GB2312" w:eastAsia="仿宋_GB2312"/>
          <w:snapToGrid w:val="0"/>
          <w:color w:val="000000"/>
          <w:kern w:val="0"/>
          <w:sz w:val="32"/>
          <w:szCs w:val="32"/>
        </w:rPr>
        <w:t>年，全市所有矿山全部建成绿色矿山</w:t>
      </w:r>
      <w:r>
        <w:rPr>
          <w:rFonts w:ascii="仿宋_GB2312" w:eastAsia="仿宋_GB2312"/>
          <w:snapToGrid w:val="0"/>
          <w:color w:val="000000"/>
          <w:kern w:val="0"/>
          <w:sz w:val="32"/>
          <w:szCs w:val="32"/>
        </w:rPr>
        <w:t>,</w:t>
      </w:r>
      <w:r>
        <w:rPr>
          <w:rFonts w:hint="eastAsia" w:ascii="仿宋_GB2312" w:eastAsia="仿宋_GB2312"/>
          <w:snapToGrid w:val="0"/>
          <w:color w:val="000000"/>
          <w:kern w:val="0"/>
          <w:sz w:val="32"/>
          <w:szCs w:val="32"/>
        </w:rPr>
        <w:t>且持续保持并不断完善，精益求精。</w:t>
      </w:r>
    </w:p>
    <w:p>
      <w:pPr>
        <w:spacing w:line="560" w:lineRule="exact"/>
        <w:ind w:firstLine="642" w:firstLineChars="200"/>
        <w:rPr>
          <w:rFonts w:ascii="仿宋_GB2312" w:hAnsi="仿宋" w:eastAsia="仿宋_GB2312"/>
          <w:b/>
          <w:snapToGrid w:val="0"/>
          <w:color w:val="000000"/>
          <w:kern w:val="0"/>
          <w:sz w:val="32"/>
          <w:szCs w:val="32"/>
        </w:rPr>
      </w:pPr>
      <w:r>
        <w:rPr>
          <w:rFonts w:ascii="仿宋_GB2312" w:hAnsi="仿宋" w:eastAsia="仿宋_GB2312"/>
          <w:b/>
          <w:snapToGrid w:val="0"/>
          <w:color w:val="000000"/>
          <w:kern w:val="0"/>
          <w:sz w:val="32"/>
          <w:szCs w:val="32"/>
        </w:rPr>
        <w:t>4.</w:t>
      </w:r>
      <w:r>
        <w:rPr>
          <w:rFonts w:hint="eastAsia" w:ascii="仿宋_GB2312" w:hAnsi="仿宋" w:eastAsia="仿宋_GB2312"/>
          <w:b/>
          <w:snapToGrid w:val="0"/>
          <w:color w:val="000000"/>
          <w:kern w:val="0"/>
          <w:sz w:val="32"/>
          <w:szCs w:val="32"/>
        </w:rPr>
        <w:t>政策措施</w:t>
      </w:r>
    </w:p>
    <w:bookmarkEnd w:id="121"/>
    <w:p>
      <w:pPr>
        <w:spacing w:line="560" w:lineRule="exact"/>
        <w:ind w:firstLine="640" w:firstLineChars="200"/>
        <w:rPr>
          <w:rFonts w:ascii="仿宋_GB2312" w:eastAsia="仿宋_GB2312"/>
          <w:snapToGrid w:val="0"/>
          <w:color w:val="000000"/>
          <w:kern w:val="0"/>
          <w:sz w:val="32"/>
          <w:szCs w:val="32"/>
        </w:rPr>
      </w:pPr>
      <w:r>
        <w:rPr>
          <w:rFonts w:hint="eastAsia" w:ascii="仿宋_GB2312" w:eastAsia="仿宋_GB2312"/>
          <w:snapToGrid w:val="0"/>
          <w:color w:val="000000"/>
          <w:kern w:val="0"/>
          <w:sz w:val="32"/>
          <w:szCs w:val="32"/>
        </w:rPr>
        <w:t>（</w:t>
      </w:r>
      <w:r>
        <w:rPr>
          <w:rFonts w:ascii="仿宋_GB2312" w:eastAsia="仿宋_GB2312"/>
          <w:snapToGrid w:val="0"/>
          <w:color w:val="000000"/>
          <w:kern w:val="0"/>
          <w:sz w:val="32"/>
          <w:szCs w:val="32"/>
        </w:rPr>
        <w:t>1</w:t>
      </w:r>
      <w:r>
        <w:rPr>
          <w:rFonts w:hint="eastAsia" w:ascii="仿宋_GB2312" w:eastAsia="仿宋_GB2312"/>
          <w:snapToGrid w:val="0"/>
          <w:color w:val="000000"/>
          <w:kern w:val="0"/>
          <w:sz w:val="32"/>
          <w:szCs w:val="32"/>
        </w:rPr>
        <w:t>）加强技术创新及政策引导，大力提升矿产资源绿色开采水平。创新研究制定绿色矿山激励约束新机制，积极出台鼓励矿山企业加大科技投入和技术攻关的政策。</w:t>
      </w:r>
    </w:p>
    <w:p>
      <w:pPr>
        <w:spacing w:line="560" w:lineRule="exact"/>
        <w:ind w:firstLine="640" w:firstLineChars="200"/>
        <w:rPr>
          <w:rFonts w:ascii="仿宋_GB2312" w:eastAsia="仿宋_GB2312"/>
          <w:snapToGrid w:val="0"/>
          <w:color w:val="000000"/>
          <w:kern w:val="0"/>
          <w:sz w:val="32"/>
          <w:szCs w:val="32"/>
        </w:rPr>
      </w:pPr>
      <w:r>
        <w:rPr>
          <w:rFonts w:hint="eastAsia" w:ascii="仿宋_GB2312" w:eastAsia="仿宋_GB2312"/>
          <w:snapToGrid w:val="0"/>
          <w:color w:val="000000"/>
          <w:kern w:val="0"/>
          <w:sz w:val="32"/>
          <w:szCs w:val="32"/>
        </w:rPr>
        <w:t>（</w:t>
      </w:r>
      <w:r>
        <w:rPr>
          <w:rFonts w:ascii="仿宋_GB2312" w:eastAsia="仿宋_GB2312"/>
          <w:snapToGrid w:val="0"/>
          <w:color w:val="000000"/>
          <w:kern w:val="0"/>
          <w:sz w:val="32"/>
          <w:szCs w:val="32"/>
        </w:rPr>
        <w:t>2</w:t>
      </w:r>
      <w:r>
        <w:rPr>
          <w:rFonts w:hint="eastAsia" w:ascii="仿宋_GB2312" w:eastAsia="仿宋_GB2312"/>
          <w:snapToGrid w:val="0"/>
          <w:color w:val="000000"/>
          <w:kern w:val="0"/>
          <w:sz w:val="32"/>
          <w:szCs w:val="32"/>
        </w:rPr>
        <w:t>）加强矿山企业绿色生产规范化管理。用“绿色技术”改造矿产开发利用产业，强化循环经济的技术支撑，推动矿业发展向效益型、集约型和生态型转变</w:t>
      </w:r>
      <w:r>
        <w:rPr>
          <w:rFonts w:ascii="仿宋_GB2312" w:eastAsia="仿宋_GB2312"/>
          <w:snapToGrid w:val="0"/>
          <w:color w:val="000000"/>
          <w:kern w:val="0"/>
          <w:sz w:val="32"/>
          <w:szCs w:val="32"/>
        </w:rPr>
        <w:t>,</w:t>
      </w:r>
      <w:r>
        <w:rPr>
          <w:rFonts w:hint="eastAsia" w:ascii="仿宋_GB2312" w:eastAsia="仿宋_GB2312"/>
          <w:snapToGrid w:val="0"/>
          <w:color w:val="000000"/>
          <w:kern w:val="0"/>
          <w:sz w:val="32"/>
          <w:szCs w:val="32"/>
        </w:rPr>
        <w:t>建成节约高效、环境友好、矿地和谐的绿色矿业发展模式。</w:t>
      </w:r>
    </w:p>
    <w:p>
      <w:pPr>
        <w:spacing w:line="560" w:lineRule="exact"/>
        <w:ind w:firstLine="640" w:firstLineChars="200"/>
        <w:rPr>
          <w:rFonts w:ascii="仿宋_GB2312" w:eastAsia="仿宋_GB2312"/>
          <w:snapToGrid w:val="0"/>
          <w:color w:val="000000"/>
          <w:kern w:val="0"/>
          <w:sz w:val="32"/>
          <w:szCs w:val="32"/>
        </w:rPr>
      </w:pPr>
      <w:r>
        <w:rPr>
          <w:rFonts w:hint="eastAsia" w:ascii="仿宋_GB2312" w:eastAsia="仿宋_GB2312"/>
          <w:snapToGrid w:val="0"/>
          <w:color w:val="000000"/>
          <w:kern w:val="0"/>
          <w:sz w:val="32"/>
          <w:szCs w:val="32"/>
        </w:rPr>
        <w:t>（</w:t>
      </w:r>
      <w:r>
        <w:rPr>
          <w:rFonts w:ascii="仿宋_GB2312" w:eastAsia="仿宋_GB2312"/>
          <w:snapToGrid w:val="0"/>
          <w:color w:val="000000"/>
          <w:kern w:val="0"/>
          <w:sz w:val="32"/>
          <w:szCs w:val="32"/>
        </w:rPr>
        <w:t>3</w:t>
      </w:r>
      <w:r>
        <w:rPr>
          <w:rFonts w:hint="eastAsia" w:ascii="仿宋_GB2312" w:eastAsia="仿宋_GB2312"/>
          <w:snapToGrid w:val="0"/>
          <w:color w:val="000000"/>
          <w:kern w:val="0"/>
          <w:sz w:val="32"/>
          <w:szCs w:val="32"/>
        </w:rPr>
        <w:t>）加大财政专项资金和政策上的支持力度。对达到绿色矿山条件的企业实行政策倾斜，依法优先配置矿产资源和提供用地、给予矿业权人税费减免、金融信贷优先安排等政策。</w:t>
      </w:r>
    </w:p>
    <w:p>
      <w:pPr>
        <w:spacing w:line="560" w:lineRule="exact"/>
        <w:ind w:firstLine="640" w:firstLineChars="200"/>
        <w:rPr>
          <w:rFonts w:ascii="仿宋_GB2312" w:eastAsia="仿宋_GB2312"/>
          <w:snapToGrid w:val="0"/>
          <w:color w:val="000000"/>
          <w:kern w:val="0"/>
          <w:sz w:val="32"/>
          <w:szCs w:val="32"/>
        </w:rPr>
      </w:pPr>
      <w:r>
        <w:rPr>
          <w:rFonts w:hint="eastAsia" w:ascii="仿宋_GB2312" w:eastAsia="仿宋_GB2312"/>
          <w:snapToGrid w:val="0"/>
          <w:color w:val="000000"/>
          <w:kern w:val="0"/>
          <w:sz w:val="32"/>
          <w:szCs w:val="32"/>
        </w:rPr>
        <w:t>（</w:t>
      </w:r>
      <w:r>
        <w:rPr>
          <w:rFonts w:ascii="仿宋_GB2312" w:eastAsia="仿宋_GB2312"/>
          <w:snapToGrid w:val="0"/>
          <w:color w:val="000000"/>
          <w:kern w:val="0"/>
          <w:sz w:val="32"/>
          <w:szCs w:val="32"/>
        </w:rPr>
        <w:t>4</w:t>
      </w:r>
      <w:r>
        <w:rPr>
          <w:rFonts w:hint="eastAsia" w:ascii="仿宋_GB2312" w:eastAsia="仿宋_GB2312"/>
          <w:snapToGrid w:val="0"/>
          <w:color w:val="000000"/>
          <w:kern w:val="0"/>
          <w:sz w:val="32"/>
          <w:szCs w:val="32"/>
        </w:rPr>
        <w:t>）加强绿色矿山监督管理。建立长效绿色矿山监督管理机制，建立矿山环境监测系统</w:t>
      </w:r>
      <w:r>
        <w:rPr>
          <w:rFonts w:ascii="仿宋_GB2312" w:eastAsia="仿宋_GB2312"/>
          <w:snapToGrid w:val="0"/>
          <w:color w:val="000000"/>
          <w:kern w:val="0"/>
          <w:sz w:val="32"/>
          <w:szCs w:val="32"/>
        </w:rPr>
        <w:t>,</w:t>
      </w:r>
      <w:r>
        <w:rPr>
          <w:rFonts w:hint="eastAsia" w:ascii="仿宋_GB2312" w:eastAsia="仿宋_GB2312"/>
          <w:snapToGrid w:val="0"/>
          <w:color w:val="000000"/>
          <w:kern w:val="0"/>
          <w:sz w:val="32"/>
          <w:szCs w:val="32"/>
        </w:rPr>
        <w:t>充分利用现代化信息技术，建成集矿山环境信息采集、存储、传输、分析、处理和发布为一体的网络系统，实现矿山环境动态监督管理。</w:t>
      </w:r>
    </w:p>
    <w:p>
      <w:pPr>
        <w:pStyle w:val="4"/>
        <w:keepNext w:val="0"/>
        <w:keepLines w:val="0"/>
        <w:spacing w:before="0" w:after="0" w:line="560" w:lineRule="exact"/>
        <w:ind w:firstLine="640" w:firstLineChars="200"/>
        <w:jc w:val="both"/>
        <w:rPr>
          <w:rFonts w:ascii="楷体_GB2312" w:hAnsi="仿宋" w:eastAsia="楷体_GB2312"/>
          <w:b w:val="0"/>
          <w:snapToGrid w:val="0"/>
          <w:color w:val="000000"/>
          <w:kern w:val="0"/>
          <w:sz w:val="32"/>
        </w:rPr>
      </w:pPr>
      <w:bookmarkStart w:id="123" w:name="_Toc133399316"/>
      <w:r>
        <w:rPr>
          <w:rFonts w:hint="eastAsia" w:ascii="楷体_GB2312" w:hAnsi="仿宋" w:eastAsia="楷体_GB2312"/>
          <w:b w:val="0"/>
          <w:snapToGrid w:val="0"/>
          <w:color w:val="000000"/>
          <w:kern w:val="0"/>
          <w:sz w:val="32"/>
        </w:rPr>
        <w:t>（三）矿区生态保护修复</w:t>
      </w:r>
      <w:bookmarkEnd w:id="123"/>
    </w:p>
    <w:p>
      <w:pPr>
        <w:spacing w:line="560" w:lineRule="exact"/>
        <w:ind w:firstLine="642" w:firstLineChars="200"/>
        <w:rPr>
          <w:rFonts w:ascii="仿宋_GB2312" w:eastAsia="仿宋_GB2312"/>
          <w:snapToGrid w:val="0"/>
          <w:color w:val="000000"/>
          <w:kern w:val="0"/>
          <w:sz w:val="32"/>
          <w:szCs w:val="32"/>
        </w:rPr>
      </w:pPr>
      <w:r>
        <w:rPr>
          <w:rFonts w:ascii="仿宋_GB2312" w:hAnsi="仿宋" w:eastAsia="仿宋_GB2312"/>
          <w:b/>
          <w:snapToGrid w:val="0"/>
          <w:color w:val="000000"/>
          <w:kern w:val="0"/>
          <w:sz w:val="32"/>
          <w:szCs w:val="32"/>
        </w:rPr>
        <w:t>1.</w:t>
      </w:r>
      <w:r>
        <w:rPr>
          <w:rFonts w:hint="eastAsia" w:ascii="仿宋_GB2312" w:hAnsi="仿宋" w:eastAsia="仿宋_GB2312"/>
          <w:b/>
          <w:snapToGrid w:val="0"/>
          <w:color w:val="000000"/>
          <w:kern w:val="0"/>
          <w:sz w:val="32"/>
          <w:szCs w:val="32"/>
        </w:rPr>
        <w:t>新建矿山。</w:t>
      </w:r>
      <w:r>
        <w:rPr>
          <w:rFonts w:hint="eastAsia" w:ascii="仿宋_GB2312" w:eastAsia="仿宋_GB2312"/>
          <w:snapToGrid w:val="0"/>
          <w:color w:val="000000"/>
          <w:kern w:val="0"/>
          <w:sz w:val="32"/>
          <w:szCs w:val="32"/>
        </w:rPr>
        <w:t>严格矿山准入条件，新建矿山必须达到绿色矿山要求。坚持源头预防，督促矿山企业科学编制并严格实施矿山地质环境保护与土地复垦方案，按照“谁开发谁保护、谁破坏谁治理”原则，开展矿山生态修复，实现边开采、边保护、边治理。</w:t>
      </w:r>
    </w:p>
    <w:p>
      <w:pPr>
        <w:spacing w:line="560" w:lineRule="exact"/>
        <w:ind w:firstLine="642" w:firstLineChars="200"/>
        <w:rPr>
          <w:rFonts w:ascii="仿宋_GB2312" w:eastAsia="仿宋_GB2312"/>
          <w:snapToGrid w:val="0"/>
          <w:color w:val="000000"/>
          <w:kern w:val="0"/>
          <w:sz w:val="32"/>
          <w:szCs w:val="32"/>
        </w:rPr>
      </w:pPr>
      <w:r>
        <w:rPr>
          <w:rFonts w:ascii="仿宋_GB2312" w:hAnsi="仿宋" w:eastAsia="仿宋_GB2312"/>
          <w:b/>
          <w:snapToGrid w:val="0"/>
          <w:color w:val="000000"/>
          <w:kern w:val="0"/>
          <w:sz w:val="32"/>
          <w:szCs w:val="32"/>
        </w:rPr>
        <w:t>2.</w:t>
      </w:r>
      <w:r>
        <w:rPr>
          <w:rFonts w:hint="eastAsia" w:ascii="仿宋_GB2312" w:hAnsi="仿宋" w:eastAsia="仿宋_GB2312"/>
          <w:b/>
          <w:snapToGrid w:val="0"/>
          <w:color w:val="000000"/>
          <w:kern w:val="0"/>
          <w:sz w:val="32"/>
          <w:szCs w:val="32"/>
        </w:rPr>
        <w:t>生产矿山。</w:t>
      </w:r>
      <w:r>
        <w:rPr>
          <w:rFonts w:hint="eastAsia" w:ascii="仿宋_GB2312" w:eastAsia="仿宋_GB2312"/>
          <w:snapToGrid w:val="0"/>
          <w:color w:val="000000"/>
          <w:kern w:val="0"/>
          <w:sz w:val="32"/>
          <w:szCs w:val="32"/>
        </w:rPr>
        <w:t>落实“边开边治”矿区生态保护修复制度，加强矿山地质环境动态监测，严格执行矿山环境治理恢复基金制度，对矿山地质环境问题和占损土地进行治理恢复，加强矿山废弃物的综合利用，减少矿产资源在开发过程中对生态环境的影响。</w:t>
      </w:r>
    </w:p>
    <w:p>
      <w:pPr>
        <w:spacing w:line="560" w:lineRule="exact"/>
        <w:ind w:firstLine="642" w:firstLineChars="200"/>
        <w:rPr>
          <w:rFonts w:ascii="仿宋_GB2312" w:eastAsia="仿宋_GB2312"/>
          <w:snapToGrid w:val="0"/>
          <w:color w:val="000000"/>
          <w:kern w:val="0"/>
          <w:sz w:val="32"/>
          <w:szCs w:val="32"/>
        </w:rPr>
      </w:pPr>
      <w:r>
        <w:rPr>
          <w:rFonts w:ascii="仿宋_GB2312" w:hAnsi="仿宋" w:eastAsia="仿宋_GB2312"/>
          <w:b/>
          <w:snapToGrid w:val="0"/>
          <w:color w:val="000000"/>
          <w:kern w:val="0"/>
          <w:sz w:val="32"/>
          <w:szCs w:val="32"/>
        </w:rPr>
        <w:t>3.</w:t>
      </w:r>
      <w:r>
        <w:rPr>
          <w:rFonts w:hint="eastAsia" w:ascii="仿宋_GB2312" w:hAnsi="仿宋" w:eastAsia="仿宋_GB2312"/>
          <w:b/>
          <w:snapToGrid w:val="0"/>
          <w:color w:val="000000"/>
          <w:kern w:val="0"/>
          <w:sz w:val="32"/>
          <w:szCs w:val="32"/>
        </w:rPr>
        <w:t>废弃矿山。</w:t>
      </w:r>
      <w:r>
        <w:rPr>
          <w:rFonts w:hint="eastAsia" w:ascii="仿宋_GB2312" w:eastAsia="仿宋_GB2312"/>
          <w:snapToGrid w:val="0"/>
          <w:color w:val="000000"/>
          <w:kern w:val="0"/>
          <w:sz w:val="32"/>
          <w:szCs w:val="32"/>
        </w:rPr>
        <w:t>将历史遗留矿山地质环境保护与治理工作纳入政府生态环境保护考核和问责体系，构建“政府主导、政策扶持、社会参与、开发式治理、市场化运作”的矿山地质环境保护与治理模式。查清历史遗留废弃露天矿山底数，总结治理经验，科学制定修复计划。到</w:t>
      </w:r>
      <w:r>
        <w:rPr>
          <w:rFonts w:ascii="仿宋_GB2312" w:eastAsia="仿宋_GB2312"/>
          <w:snapToGrid w:val="0"/>
          <w:color w:val="000000"/>
          <w:kern w:val="0"/>
          <w:sz w:val="32"/>
          <w:szCs w:val="32"/>
        </w:rPr>
        <w:t>2025</w:t>
      </w:r>
      <w:r>
        <w:rPr>
          <w:rFonts w:hint="eastAsia" w:ascii="仿宋_GB2312" w:eastAsia="仿宋_GB2312"/>
          <w:snapToGrid w:val="0"/>
          <w:color w:val="000000"/>
          <w:kern w:val="0"/>
          <w:sz w:val="32"/>
          <w:szCs w:val="32"/>
        </w:rPr>
        <w:t>年，基本完成历史遗留矿山治理。</w:t>
      </w:r>
      <w:bookmarkStart w:id="124" w:name="_Toc133399317"/>
    </w:p>
    <w:p>
      <w:pPr>
        <w:pStyle w:val="3"/>
        <w:keepNext w:val="0"/>
        <w:keepLines w:val="0"/>
        <w:spacing w:before="0" w:after="0" w:line="560" w:lineRule="exact"/>
        <w:ind w:firstLine="640" w:firstLineChars="200"/>
        <w:jc w:val="both"/>
        <w:rPr>
          <w:rFonts w:hAnsi="仿宋" w:eastAsia="黑体"/>
          <w:b w:val="0"/>
          <w:snapToGrid w:val="0"/>
          <w:color w:val="000000"/>
          <w:kern w:val="0"/>
          <w:szCs w:val="32"/>
        </w:rPr>
      </w:pPr>
      <w:r>
        <w:rPr>
          <w:rFonts w:hint="eastAsia" w:hAnsi="仿宋" w:eastAsia="黑体"/>
          <w:b w:val="0"/>
          <w:snapToGrid w:val="0"/>
          <w:color w:val="000000"/>
          <w:kern w:val="0"/>
          <w:szCs w:val="32"/>
        </w:rPr>
        <w:t>六、重点项目</w:t>
      </w:r>
      <w:bookmarkEnd w:id="124"/>
    </w:p>
    <w:p>
      <w:pPr>
        <w:pStyle w:val="4"/>
        <w:keepNext w:val="0"/>
        <w:keepLines w:val="0"/>
        <w:spacing w:before="0" w:after="0" w:line="560" w:lineRule="exact"/>
        <w:ind w:firstLine="640" w:firstLineChars="200"/>
        <w:jc w:val="both"/>
        <w:rPr>
          <w:rFonts w:ascii="楷体_GB2312" w:hAnsi="仿宋" w:eastAsia="楷体_GB2312"/>
          <w:b w:val="0"/>
          <w:snapToGrid w:val="0"/>
          <w:color w:val="000000"/>
          <w:kern w:val="0"/>
          <w:sz w:val="32"/>
        </w:rPr>
      </w:pPr>
      <w:bookmarkStart w:id="125" w:name="_Toc133399318"/>
      <w:r>
        <w:rPr>
          <w:rFonts w:hint="eastAsia" w:ascii="楷体_GB2312" w:hAnsi="仿宋" w:eastAsia="楷体_GB2312"/>
          <w:b w:val="0"/>
          <w:snapToGrid w:val="0"/>
          <w:color w:val="000000"/>
          <w:kern w:val="0"/>
          <w:sz w:val="32"/>
        </w:rPr>
        <w:t>（一）实施主体</w:t>
      </w:r>
      <w:bookmarkEnd w:id="125"/>
    </w:p>
    <w:p>
      <w:pPr>
        <w:spacing w:line="560" w:lineRule="exact"/>
        <w:ind w:firstLine="640" w:firstLineChars="200"/>
        <w:rPr>
          <w:rFonts w:ascii="仿宋_GB2312" w:eastAsia="仿宋_GB2312"/>
          <w:snapToGrid w:val="0"/>
          <w:color w:val="000000"/>
          <w:kern w:val="0"/>
          <w:sz w:val="32"/>
          <w:szCs w:val="32"/>
        </w:rPr>
      </w:pPr>
      <w:r>
        <w:rPr>
          <w:rFonts w:hint="eastAsia" w:ascii="仿宋_GB2312" w:eastAsia="仿宋_GB2312"/>
          <w:snapToGrid w:val="0"/>
          <w:color w:val="000000"/>
          <w:kern w:val="0"/>
          <w:sz w:val="32"/>
          <w:szCs w:val="32"/>
        </w:rPr>
        <w:t>实施主体为滕州市人民政府，牵头实施部门为滕州市自然资源局。</w:t>
      </w:r>
    </w:p>
    <w:p>
      <w:pPr>
        <w:pStyle w:val="4"/>
        <w:keepNext w:val="0"/>
        <w:keepLines w:val="0"/>
        <w:spacing w:before="0" w:after="0" w:line="560" w:lineRule="exact"/>
        <w:ind w:firstLine="640" w:firstLineChars="200"/>
        <w:jc w:val="both"/>
        <w:rPr>
          <w:rFonts w:ascii="楷体_GB2312" w:hAnsi="仿宋" w:eastAsia="楷体_GB2312"/>
          <w:b w:val="0"/>
          <w:snapToGrid w:val="0"/>
          <w:color w:val="000000"/>
          <w:kern w:val="0"/>
          <w:sz w:val="32"/>
        </w:rPr>
      </w:pPr>
      <w:bookmarkStart w:id="126" w:name="_Toc133399319"/>
      <w:r>
        <w:rPr>
          <w:rFonts w:hint="eastAsia" w:ascii="楷体_GB2312" w:hAnsi="仿宋" w:eastAsia="楷体_GB2312"/>
          <w:b w:val="0"/>
          <w:snapToGrid w:val="0"/>
          <w:color w:val="000000"/>
          <w:kern w:val="0"/>
          <w:sz w:val="32"/>
        </w:rPr>
        <w:t>（二）预期成效</w:t>
      </w:r>
      <w:bookmarkEnd w:id="126"/>
    </w:p>
    <w:p>
      <w:pPr>
        <w:spacing w:line="560" w:lineRule="exact"/>
        <w:ind w:firstLine="640" w:firstLineChars="200"/>
        <w:rPr>
          <w:rFonts w:ascii="仿宋_GB2312" w:eastAsia="仿宋_GB2312"/>
          <w:snapToGrid w:val="0"/>
          <w:color w:val="000000"/>
          <w:kern w:val="0"/>
          <w:sz w:val="32"/>
          <w:szCs w:val="32"/>
        </w:rPr>
      </w:pPr>
      <w:r>
        <w:rPr>
          <w:rFonts w:hint="eastAsia" w:ascii="仿宋_GB2312" w:eastAsia="仿宋_GB2312"/>
          <w:snapToGrid w:val="0"/>
          <w:color w:val="000000"/>
          <w:kern w:val="0"/>
          <w:sz w:val="32"/>
          <w:szCs w:val="32"/>
        </w:rPr>
        <w:t>至滕州市绿色矿业发展示范区项目完成，辖域内所有矿山全部建成绿色矿山，对矿业转型升级和绿色发展起引领带动作用。资源型城市滕州将成为矿业领域生态文明建设的样板（三区城市），即矿产资源管理创新的先行区、煤炭资源开采高效化和技术装备智能化的展示区、非煤资源开发利用集约化的矿地和谐模范区。</w:t>
      </w:r>
    </w:p>
    <w:p>
      <w:pPr>
        <w:spacing w:line="560" w:lineRule="exact"/>
        <w:ind w:firstLine="640" w:firstLineChars="200"/>
        <w:rPr>
          <w:rFonts w:ascii="仿宋_GB2312" w:eastAsia="仿宋_GB2312"/>
          <w:snapToGrid w:val="0"/>
          <w:color w:val="000000"/>
          <w:kern w:val="0"/>
          <w:sz w:val="32"/>
          <w:szCs w:val="32"/>
        </w:rPr>
      </w:pPr>
      <w:r>
        <w:rPr>
          <w:rFonts w:hint="eastAsia" w:ascii="仿宋_GB2312" w:eastAsia="仿宋_GB2312"/>
          <w:snapToGrid w:val="0"/>
          <w:color w:val="000000"/>
          <w:kern w:val="0"/>
          <w:sz w:val="32"/>
          <w:szCs w:val="32"/>
        </w:rPr>
        <w:t>具体做法为：优化勘查开发布局、促进矿业产业结构调整、全域推进绿色矿山建设、整体提升资源开发利用效率、加强矿山地质环境治理恢复、积极探索矿地和谐发展新途径、建立发展绿色矿业工作新机制。</w:t>
      </w:r>
    </w:p>
    <w:p>
      <w:pPr>
        <w:pStyle w:val="4"/>
        <w:keepNext w:val="0"/>
        <w:keepLines w:val="0"/>
        <w:spacing w:before="0" w:after="0" w:line="560" w:lineRule="exact"/>
        <w:ind w:firstLine="640" w:firstLineChars="200"/>
        <w:jc w:val="both"/>
        <w:rPr>
          <w:rFonts w:ascii="楷体_GB2312" w:hAnsi="仿宋" w:eastAsia="楷体_GB2312"/>
          <w:b w:val="0"/>
          <w:snapToGrid w:val="0"/>
          <w:color w:val="000000"/>
          <w:kern w:val="0"/>
          <w:sz w:val="32"/>
        </w:rPr>
      </w:pPr>
      <w:bookmarkStart w:id="127" w:name="_Toc133399320"/>
      <w:r>
        <w:rPr>
          <w:rFonts w:hint="eastAsia" w:ascii="楷体_GB2312" w:hAnsi="仿宋" w:eastAsia="楷体_GB2312"/>
          <w:b w:val="0"/>
          <w:snapToGrid w:val="0"/>
          <w:color w:val="000000"/>
          <w:kern w:val="0"/>
          <w:sz w:val="32"/>
        </w:rPr>
        <w:t>（三）进度安排</w:t>
      </w:r>
      <w:bookmarkEnd w:id="127"/>
    </w:p>
    <w:p>
      <w:pPr>
        <w:spacing w:line="560" w:lineRule="exact"/>
        <w:ind w:firstLine="640" w:firstLineChars="200"/>
        <w:rPr>
          <w:rFonts w:ascii="仿宋_GB2312" w:eastAsia="仿宋_GB2312"/>
          <w:snapToGrid w:val="0"/>
          <w:color w:val="000000"/>
          <w:kern w:val="0"/>
          <w:sz w:val="32"/>
          <w:szCs w:val="32"/>
        </w:rPr>
      </w:pPr>
      <w:r>
        <w:rPr>
          <w:rFonts w:hint="eastAsia" w:ascii="仿宋_GB2312" w:eastAsia="仿宋_GB2312"/>
          <w:snapToGrid w:val="0"/>
          <w:color w:val="000000"/>
          <w:kern w:val="0"/>
          <w:sz w:val="32"/>
          <w:szCs w:val="32"/>
        </w:rPr>
        <w:t>预计2</w:t>
      </w:r>
      <w:r>
        <w:rPr>
          <w:rFonts w:ascii="仿宋_GB2312" w:eastAsia="仿宋_GB2312"/>
          <w:snapToGrid w:val="0"/>
          <w:color w:val="000000"/>
          <w:kern w:val="0"/>
          <w:sz w:val="32"/>
          <w:szCs w:val="32"/>
        </w:rPr>
        <w:t>025</w:t>
      </w:r>
      <w:r>
        <w:rPr>
          <w:rFonts w:hint="eastAsia" w:ascii="仿宋_GB2312" w:eastAsia="仿宋_GB2312"/>
          <w:snapToGrid w:val="0"/>
          <w:color w:val="000000"/>
          <w:kern w:val="0"/>
          <w:sz w:val="32"/>
          <w:szCs w:val="32"/>
        </w:rPr>
        <w:t>年底完成滕州市绿色矿业发展示范区建设项目。</w:t>
      </w:r>
      <w:bookmarkStart w:id="128" w:name="_Toc530884256"/>
      <w:bookmarkEnd w:id="128"/>
      <w:bookmarkStart w:id="129" w:name="_Toc228635982"/>
      <w:bookmarkEnd w:id="129"/>
      <w:bookmarkStart w:id="130" w:name="_Toc234113485"/>
      <w:bookmarkEnd w:id="130"/>
      <w:bookmarkStart w:id="131" w:name="_Toc530884158"/>
      <w:bookmarkEnd w:id="131"/>
      <w:bookmarkStart w:id="132" w:name="_Toc275893236"/>
      <w:bookmarkEnd w:id="132"/>
      <w:bookmarkStart w:id="133" w:name="_Toc268100204"/>
      <w:bookmarkEnd w:id="133"/>
      <w:bookmarkStart w:id="134" w:name="_Toc261503425"/>
      <w:bookmarkEnd w:id="134"/>
      <w:bookmarkStart w:id="135" w:name="_Toc228637575"/>
      <w:bookmarkEnd w:id="135"/>
      <w:bookmarkStart w:id="136" w:name="_Toc530884339"/>
      <w:bookmarkEnd w:id="136"/>
      <w:bookmarkStart w:id="137" w:name="_Toc190839924"/>
      <w:bookmarkEnd w:id="137"/>
      <w:bookmarkStart w:id="138" w:name="_Toc133399321"/>
    </w:p>
    <w:p>
      <w:pPr>
        <w:pStyle w:val="3"/>
        <w:keepNext w:val="0"/>
        <w:keepLines w:val="0"/>
        <w:spacing w:before="0" w:after="0" w:line="560" w:lineRule="exact"/>
        <w:ind w:firstLine="640" w:firstLineChars="200"/>
        <w:jc w:val="both"/>
        <w:rPr>
          <w:rFonts w:hAnsi="仿宋" w:eastAsia="黑体"/>
          <w:b w:val="0"/>
          <w:snapToGrid w:val="0"/>
          <w:color w:val="000000"/>
          <w:kern w:val="0"/>
          <w:szCs w:val="32"/>
        </w:rPr>
      </w:pPr>
      <w:r>
        <w:rPr>
          <w:rFonts w:hint="eastAsia" w:hAnsi="仿宋" w:eastAsia="黑体"/>
          <w:b w:val="0"/>
          <w:snapToGrid w:val="0"/>
          <w:color w:val="000000"/>
          <w:kern w:val="0"/>
          <w:szCs w:val="32"/>
        </w:rPr>
        <w:t>七、规划保障措施</w:t>
      </w:r>
      <w:bookmarkEnd w:id="138"/>
    </w:p>
    <w:p>
      <w:pPr>
        <w:pStyle w:val="4"/>
        <w:keepNext w:val="0"/>
        <w:keepLines w:val="0"/>
        <w:spacing w:before="0" w:after="0" w:line="560" w:lineRule="exact"/>
        <w:ind w:firstLine="640" w:firstLineChars="200"/>
        <w:jc w:val="both"/>
        <w:rPr>
          <w:rFonts w:ascii="楷体_GB2312" w:hAnsi="仿宋" w:eastAsia="楷体_GB2312"/>
          <w:b w:val="0"/>
          <w:snapToGrid w:val="0"/>
          <w:color w:val="000000"/>
          <w:kern w:val="0"/>
          <w:sz w:val="32"/>
        </w:rPr>
      </w:pPr>
      <w:bookmarkStart w:id="139" w:name="_Toc70262121"/>
      <w:bookmarkStart w:id="140" w:name="_Toc133399322"/>
      <w:r>
        <w:rPr>
          <w:rFonts w:hint="eastAsia" w:ascii="楷体_GB2312" w:hAnsi="仿宋" w:eastAsia="楷体_GB2312"/>
          <w:b w:val="0"/>
          <w:snapToGrid w:val="0"/>
          <w:color w:val="000000"/>
          <w:kern w:val="0"/>
          <w:sz w:val="32"/>
        </w:rPr>
        <w:t>（一）实施</w:t>
      </w:r>
      <w:bookmarkEnd w:id="139"/>
      <w:r>
        <w:rPr>
          <w:rFonts w:hint="eastAsia" w:ascii="楷体_GB2312" w:hAnsi="仿宋" w:eastAsia="楷体_GB2312"/>
          <w:b w:val="0"/>
          <w:snapToGrid w:val="0"/>
          <w:color w:val="000000"/>
          <w:kern w:val="0"/>
          <w:sz w:val="32"/>
        </w:rPr>
        <w:t>保障</w:t>
      </w:r>
      <w:bookmarkEnd w:id="140"/>
    </w:p>
    <w:p>
      <w:pPr>
        <w:spacing w:line="560" w:lineRule="exact"/>
        <w:ind w:firstLine="642" w:firstLineChars="200"/>
        <w:rPr>
          <w:rFonts w:ascii="仿宋_GB2312" w:eastAsia="仿宋_GB2312"/>
          <w:snapToGrid w:val="0"/>
          <w:color w:val="000000"/>
          <w:kern w:val="0"/>
          <w:sz w:val="32"/>
          <w:szCs w:val="32"/>
        </w:rPr>
      </w:pPr>
      <w:r>
        <w:rPr>
          <w:rFonts w:ascii="仿宋_GB2312" w:hAnsi="仿宋" w:eastAsia="仿宋_GB2312"/>
          <w:b/>
          <w:snapToGrid w:val="0"/>
          <w:color w:val="000000"/>
          <w:kern w:val="0"/>
          <w:sz w:val="32"/>
          <w:szCs w:val="32"/>
        </w:rPr>
        <w:t>1.</w:t>
      </w:r>
      <w:r>
        <w:rPr>
          <w:rFonts w:hint="eastAsia" w:ascii="仿宋_GB2312" w:hAnsi="仿宋" w:eastAsia="仿宋_GB2312"/>
          <w:b/>
          <w:snapToGrid w:val="0"/>
          <w:color w:val="000000"/>
          <w:kern w:val="0"/>
          <w:sz w:val="32"/>
          <w:szCs w:val="32"/>
        </w:rPr>
        <w:t>目标实施。</w:t>
      </w:r>
      <w:r>
        <w:rPr>
          <w:rFonts w:hint="eastAsia" w:ascii="仿宋_GB2312" w:eastAsia="仿宋_GB2312"/>
          <w:snapToGrid w:val="0"/>
          <w:color w:val="000000"/>
          <w:kern w:val="0"/>
          <w:sz w:val="32"/>
          <w:szCs w:val="32"/>
        </w:rPr>
        <w:t>矿产资源规划发布后，要分解落实《规划》确定的总体目标和任务。对财政出资安排的矿产资源勘查、开发利用和保护，绿色矿山建设、绿色矿业发展示范区等重点项目，按年度实施计划安排，推进项目落地落实，并根据形势变化适时调整年度计划。加强矿业权出让，矿产资源勘查、开发利用与保护等重点项目实施的规划审查，树立规划的权威性，充分发挥管控作用。</w:t>
      </w:r>
    </w:p>
    <w:p>
      <w:pPr>
        <w:spacing w:line="560" w:lineRule="exact"/>
        <w:ind w:firstLine="642" w:firstLineChars="200"/>
        <w:rPr>
          <w:rFonts w:ascii="仿宋_GB2312" w:eastAsia="仿宋_GB2312"/>
          <w:snapToGrid w:val="0"/>
          <w:color w:val="000000"/>
          <w:kern w:val="0"/>
          <w:sz w:val="32"/>
          <w:szCs w:val="32"/>
        </w:rPr>
      </w:pPr>
      <w:r>
        <w:rPr>
          <w:rFonts w:ascii="仿宋_GB2312" w:hAnsi="仿宋" w:eastAsia="仿宋_GB2312"/>
          <w:b/>
          <w:snapToGrid w:val="0"/>
          <w:color w:val="000000"/>
          <w:kern w:val="0"/>
          <w:sz w:val="32"/>
          <w:szCs w:val="32"/>
        </w:rPr>
        <w:t>2.</w:t>
      </w:r>
      <w:r>
        <w:rPr>
          <w:rFonts w:hint="eastAsia" w:ascii="仿宋_GB2312" w:hAnsi="仿宋" w:eastAsia="仿宋_GB2312"/>
          <w:b/>
          <w:snapToGrid w:val="0"/>
          <w:color w:val="000000"/>
          <w:kern w:val="0"/>
          <w:sz w:val="32"/>
          <w:szCs w:val="32"/>
        </w:rPr>
        <w:t>责任考核。</w:t>
      </w:r>
      <w:r>
        <w:rPr>
          <w:rFonts w:hint="eastAsia" w:ascii="仿宋_GB2312" w:eastAsia="仿宋_GB2312"/>
          <w:snapToGrid w:val="0"/>
          <w:color w:val="000000"/>
          <w:kern w:val="0"/>
          <w:sz w:val="32"/>
          <w:szCs w:val="32"/>
        </w:rPr>
        <w:t>健全规划实施管理责任制，制定规划目标责任管理办法及规划执行年度考评制度，明确考核内容、考核办法等，强化措施，完善落实机制和监督检查。</w:t>
      </w:r>
    </w:p>
    <w:p>
      <w:pPr>
        <w:spacing w:line="560" w:lineRule="exact"/>
        <w:ind w:firstLine="642" w:firstLineChars="200"/>
        <w:rPr>
          <w:rFonts w:ascii="仿宋_GB2312" w:eastAsia="仿宋_GB2312"/>
          <w:snapToGrid w:val="0"/>
          <w:color w:val="000000"/>
          <w:kern w:val="0"/>
          <w:sz w:val="32"/>
          <w:szCs w:val="32"/>
        </w:rPr>
      </w:pPr>
      <w:r>
        <w:rPr>
          <w:rFonts w:ascii="仿宋_GB2312" w:hAnsi="仿宋" w:eastAsia="仿宋_GB2312"/>
          <w:b/>
          <w:snapToGrid w:val="0"/>
          <w:color w:val="000000"/>
          <w:kern w:val="0"/>
          <w:sz w:val="32"/>
          <w:szCs w:val="32"/>
        </w:rPr>
        <w:t>3.</w:t>
      </w:r>
      <w:r>
        <w:rPr>
          <w:rFonts w:hint="eastAsia" w:ascii="仿宋_GB2312" w:hAnsi="仿宋" w:eastAsia="仿宋_GB2312"/>
          <w:b/>
          <w:snapToGrid w:val="0"/>
          <w:color w:val="000000"/>
          <w:kern w:val="0"/>
          <w:sz w:val="32"/>
          <w:szCs w:val="32"/>
        </w:rPr>
        <w:t>评估调整。</w:t>
      </w:r>
      <w:r>
        <w:rPr>
          <w:rFonts w:hint="eastAsia" w:ascii="仿宋_GB2312" w:eastAsia="仿宋_GB2312"/>
          <w:snapToGrid w:val="0"/>
          <w:color w:val="000000"/>
          <w:kern w:val="0"/>
          <w:sz w:val="32"/>
          <w:szCs w:val="32"/>
        </w:rPr>
        <w:t>实施矿产资源规划评估，加强《规划》落实情况的调研、监测、统计和分析，开展《规划》实施评估，根据评估结果及时调整完善规划实施工作安排。</w:t>
      </w:r>
    </w:p>
    <w:p>
      <w:pPr>
        <w:spacing w:line="560" w:lineRule="exact"/>
        <w:ind w:firstLine="640" w:firstLineChars="200"/>
        <w:rPr>
          <w:rFonts w:ascii="仿宋_GB2312" w:eastAsia="仿宋_GB2312"/>
          <w:snapToGrid w:val="0"/>
          <w:color w:val="000000"/>
          <w:kern w:val="0"/>
          <w:sz w:val="32"/>
          <w:szCs w:val="32"/>
        </w:rPr>
      </w:pPr>
      <w:r>
        <w:rPr>
          <w:rFonts w:hint="eastAsia" w:ascii="仿宋_GB2312" w:eastAsia="仿宋_GB2312"/>
          <w:snapToGrid w:val="0"/>
          <w:color w:val="000000"/>
          <w:kern w:val="0"/>
          <w:sz w:val="32"/>
          <w:szCs w:val="32"/>
        </w:rPr>
        <w:t>建立调整机制。规划调整需有充分的依据，并对调整内容进行监测评估和科学论证，提出调整的意见建议；《规划》的调整，应当向批准机关提出调整申请，经批准机关同意后生效。</w:t>
      </w:r>
    </w:p>
    <w:p>
      <w:pPr>
        <w:spacing w:line="560" w:lineRule="exact"/>
        <w:ind w:firstLine="642" w:firstLineChars="200"/>
        <w:rPr>
          <w:rFonts w:ascii="仿宋_GB2312" w:eastAsia="仿宋_GB2312"/>
          <w:snapToGrid w:val="0"/>
          <w:color w:val="000000"/>
          <w:kern w:val="0"/>
          <w:sz w:val="32"/>
          <w:szCs w:val="32"/>
        </w:rPr>
      </w:pPr>
      <w:r>
        <w:rPr>
          <w:rFonts w:ascii="仿宋_GB2312" w:hAnsi="仿宋" w:eastAsia="仿宋_GB2312"/>
          <w:b/>
          <w:snapToGrid w:val="0"/>
          <w:color w:val="000000"/>
          <w:kern w:val="0"/>
          <w:sz w:val="32"/>
          <w:szCs w:val="32"/>
        </w:rPr>
        <w:t>4.</w:t>
      </w:r>
      <w:r>
        <w:rPr>
          <w:rFonts w:hint="eastAsia" w:ascii="仿宋_GB2312" w:hAnsi="仿宋" w:eastAsia="仿宋_GB2312"/>
          <w:b/>
          <w:snapToGrid w:val="0"/>
          <w:color w:val="000000"/>
          <w:kern w:val="0"/>
          <w:sz w:val="32"/>
          <w:szCs w:val="32"/>
        </w:rPr>
        <w:t>监督检查。</w:t>
      </w:r>
      <w:r>
        <w:rPr>
          <w:rFonts w:hint="eastAsia" w:ascii="仿宋_GB2312" w:eastAsia="仿宋_GB2312"/>
          <w:snapToGrid w:val="0"/>
          <w:color w:val="000000"/>
          <w:kern w:val="0"/>
          <w:sz w:val="32"/>
          <w:szCs w:val="32"/>
        </w:rPr>
        <w:t>职能部门要履行矿产资源规划的管理职能，建立规划实施监督检查机制，充实人员力量，强化重点区域和重点领域的规划实施监督管理，接受社会公众监督，强化检查措施，发现不符合规划的，及时予以纠正或查处，确保《规划》全面细化落实。</w:t>
      </w:r>
    </w:p>
    <w:p>
      <w:pPr>
        <w:spacing w:line="560" w:lineRule="exact"/>
        <w:ind w:firstLine="642" w:firstLineChars="200"/>
        <w:rPr>
          <w:rFonts w:ascii="仿宋_GB2312" w:eastAsia="仿宋_GB2312"/>
          <w:snapToGrid w:val="0"/>
          <w:color w:val="000000"/>
          <w:kern w:val="0"/>
          <w:sz w:val="32"/>
          <w:szCs w:val="32"/>
        </w:rPr>
      </w:pPr>
      <w:r>
        <w:rPr>
          <w:rFonts w:ascii="仿宋_GB2312" w:hAnsi="仿宋" w:eastAsia="仿宋_GB2312"/>
          <w:b/>
          <w:snapToGrid w:val="0"/>
          <w:color w:val="000000"/>
          <w:kern w:val="0"/>
          <w:sz w:val="32"/>
          <w:szCs w:val="32"/>
        </w:rPr>
        <w:t>5.</w:t>
      </w:r>
      <w:r>
        <w:rPr>
          <w:rFonts w:hint="eastAsia" w:ascii="仿宋_GB2312" w:hAnsi="仿宋" w:eastAsia="仿宋_GB2312"/>
          <w:b/>
          <w:snapToGrid w:val="0"/>
          <w:color w:val="000000"/>
          <w:kern w:val="0"/>
          <w:sz w:val="32"/>
          <w:szCs w:val="32"/>
        </w:rPr>
        <w:t>信息化建设。</w:t>
      </w:r>
      <w:r>
        <w:rPr>
          <w:rFonts w:hint="eastAsia" w:ascii="仿宋_GB2312" w:eastAsia="仿宋_GB2312"/>
          <w:snapToGrid w:val="0"/>
          <w:color w:val="000000"/>
          <w:kern w:val="0"/>
          <w:sz w:val="32"/>
          <w:szCs w:val="32"/>
        </w:rPr>
        <w:t>完善规划实施管理的动态监测、评价、预警技术。充分利用矿产资源、地质环境保护等监测系统提供的监测数据，建立并完善规划实施监测信息平台，及时、准确地掌握全市范围和重点矿区的矿产储量增减、资源利用水平、矿山生态环境等的动态变化。对规划实施进行评价和判断，确保规划顺利实施。</w:t>
      </w:r>
    </w:p>
    <w:p>
      <w:pPr>
        <w:pStyle w:val="4"/>
        <w:keepNext w:val="0"/>
        <w:keepLines w:val="0"/>
        <w:spacing w:before="0" w:after="0" w:line="560" w:lineRule="exact"/>
        <w:ind w:firstLine="640" w:firstLineChars="200"/>
        <w:jc w:val="both"/>
        <w:rPr>
          <w:rFonts w:ascii="楷体_GB2312" w:hAnsi="仿宋" w:eastAsia="楷体_GB2312"/>
          <w:b w:val="0"/>
          <w:snapToGrid w:val="0"/>
          <w:color w:val="000000"/>
          <w:kern w:val="0"/>
          <w:sz w:val="32"/>
        </w:rPr>
      </w:pPr>
      <w:bookmarkStart w:id="141" w:name="_Toc133399323"/>
      <w:r>
        <w:rPr>
          <w:rFonts w:hint="eastAsia" w:ascii="楷体_GB2312" w:hAnsi="仿宋" w:eastAsia="楷体_GB2312"/>
          <w:b w:val="0"/>
          <w:snapToGrid w:val="0"/>
          <w:color w:val="000000"/>
          <w:kern w:val="0"/>
          <w:sz w:val="32"/>
        </w:rPr>
        <w:t>（二）制度保障</w:t>
      </w:r>
      <w:bookmarkEnd w:id="141"/>
    </w:p>
    <w:p>
      <w:pPr>
        <w:spacing w:line="560" w:lineRule="exact"/>
        <w:ind w:firstLine="642" w:firstLineChars="200"/>
        <w:rPr>
          <w:rFonts w:ascii="仿宋_GB2312" w:eastAsia="仿宋_GB2312"/>
          <w:snapToGrid w:val="0"/>
          <w:color w:val="000000"/>
          <w:kern w:val="0"/>
          <w:sz w:val="32"/>
          <w:szCs w:val="32"/>
        </w:rPr>
      </w:pPr>
      <w:r>
        <w:rPr>
          <w:rFonts w:ascii="仿宋_GB2312" w:hAnsi="仿宋" w:eastAsia="仿宋_GB2312"/>
          <w:b/>
          <w:snapToGrid w:val="0"/>
          <w:color w:val="000000"/>
          <w:kern w:val="0"/>
          <w:sz w:val="32"/>
          <w:szCs w:val="32"/>
        </w:rPr>
        <w:t>1.</w:t>
      </w:r>
      <w:r>
        <w:rPr>
          <w:rFonts w:hint="eastAsia" w:ascii="仿宋_GB2312" w:hAnsi="仿宋" w:eastAsia="仿宋_GB2312"/>
          <w:b/>
          <w:snapToGrid w:val="0"/>
          <w:color w:val="000000"/>
          <w:kern w:val="0"/>
          <w:sz w:val="32"/>
          <w:szCs w:val="32"/>
        </w:rPr>
        <w:t>加强组织领导。</w:t>
      </w:r>
      <w:r>
        <w:rPr>
          <w:rFonts w:hint="eastAsia" w:ascii="仿宋_GB2312" w:eastAsia="仿宋_GB2312"/>
          <w:snapToGrid w:val="0"/>
          <w:color w:val="000000"/>
          <w:kern w:val="0"/>
          <w:sz w:val="32"/>
          <w:szCs w:val="32"/>
        </w:rPr>
        <w:t>市政府和有关部门要加强组织领导，明确职责分工，认真履行职责，加强协调配合，做好政策衔接，及时组织研究解决规划实施过程中的重大问题，共同推进规划实施。</w:t>
      </w:r>
    </w:p>
    <w:p>
      <w:pPr>
        <w:spacing w:line="560" w:lineRule="exact"/>
        <w:ind w:firstLine="642" w:firstLineChars="200"/>
        <w:rPr>
          <w:rFonts w:ascii="仿宋_GB2312" w:eastAsia="仿宋_GB2312"/>
          <w:snapToGrid w:val="0"/>
          <w:color w:val="000000"/>
          <w:kern w:val="0"/>
          <w:sz w:val="32"/>
          <w:szCs w:val="32"/>
        </w:rPr>
      </w:pPr>
      <w:r>
        <w:rPr>
          <w:rFonts w:ascii="仿宋_GB2312" w:hAnsi="仿宋" w:eastAsia="仿宋_GB2312"/>
          <w:b/>
          <w:snapToGrid w:val="0"/>
          <w:color w:val="000000"/>
          <w:kern w:val="0"/>
          <w:sz w:val="32"/>
          <w:szCs w:val="32"/>
        </w:rPr>
        <w:t>2.</w:t>
      </w:r>
      <w:r>
        <w:rPr>
          <w:rFonts w:hint="eastAsia" w:ascii="仿宋_GB2312" w:hAnsi="仿宋" w:eastAsia="仿宋_GB2312"/>
          <w:b/>
          <w:snapToGrid w:val="0"/>
          <w:color w:val="000000"/>
          <w:kern w:val="0"/>
          <w:sz w:val="32"/>
          <w:szCs w:val="32"/>
        </w:rPr>
        <w:t>完善政策支持。</w:t>
      </w:r>
      <w:r>
        <w:rPr>
          <w:rFonts w:hint="eastAsia" w:ascii="仿宋_GB2312" w:eastAsia="仿宋_GB2312"/>
          <w:snapToGrid w:val="0"/>
          <w:color w:val="000000"/>
          <w:kern w:val="0"/>
          <w:sz w:val="32"/>
          <w:szCs w:val="32"/>
        </w:rPr>
        <w:t>各级各部门要建立完善权责明确、协调统一的矿产资源规划管理工作体系，健全“政府领导、部门协同、上下联动”的共同管理责任机制。各级政府要加强经费保障，发挥财政资金引导作用，多渠道筹措资金支持矿业勘查开发。鼓励地方矿业权出让收益分成部分统筹用于本地区矿产勘查开发活动。探索建立绿色矿山建设激励奖励机制，研究制定资源、土地、财税、金融等支持和优惠政策，定期开展绿色勘查、绿色矿山评优表彰，推动矿业绿色高质量发展。</w:t>
      </w:r>
    </w:p>
    <w:p>
      <w:pPr>
        <w:spacing w:line="560" w:lineRule="exact"/>
        <w:ind w:firstLine="642" w:firstLineChars="200"/>
        <w:rPr>
          <w:rFonts w:ascii="仿宋_GB2312" w:eastAsia="仿宋_GB2312"/>
          <w:snapToGrid w:val="0"/>
          <w:color w:val="000000"/>
          <w:kern w:val="0"/>
          <w:sz w:val="32"/>
          <w:szCs w:val="32"/>
        </w:rPr>
      </w:pPr>
      <w:r>
        <w:rPr>
          <w:rFonts w:ascii="仿宋_GB2312" w:hAnsi="仿宋" w:eastAsia="仿宋_GB2312"/>
          <w:b/>
          <w:snapToGrid w:val="0"/>
          <w:color w:val="000000"/>
          <w:kern w:val="0"/>
          <w:sz w:val="32"/>
          <w:szCs w:val="32"/>
        </w:rPr>
        <w:t>3.</w:t>
      </w:r>
      <w:r>
        <w:rPr>
          <w:rFonts w:hint="eastAsia" w:ascii="仿宋_GB2312" w:hAnsi="仿宋" w:eastAsia="仿宋_GB2312"/>
          <w:b/>
          <w:snapToGrid w:val="0"/>
          <w:color w:val="000000"/>
          <w:kern w:val="0"/>
          <w:sz w:val="32"/>
          <w:szCs w:val="32"/>
        </w:rPr>
        <w:t>加强宣传引领。</w:t>
      </w:r>
      <w:r>
        <w:rPr>
          <w:rFonts w:hint="eastAsia" w:ascii="仿宋_GB2312" w:eastAsia="仿宋_GB2312"/>
          <w:snapToGrid w:val="0"/>
          <w:color w:val="000000"/>
          <w:kern w:val="0"/>
          <w:sz w:val="32"/>
          <w:szCs w:val="32"/>
        </w:rPr>
        <w:t>矿产资源规划经批准后，予以公告。加强本《规划》宣贯，各级各部门要做好规划的宣传和解读，提高社会各界对规划的认知度，动员全社会关心支持矿产资源服务保障，并接受社会对规划实施的监督。积极组织开展相关培训指导，及时分析规划编制、实施及监测评估典型案例，总结推广先进经验，凝聚矿产资源管理改革的共识与合力，为规划编制实施营造良好的社会环境。</w:t>
      </w:r>
    </w:p>
    <w:p>
      <w:pPr>
        <w:spacing w:line="560" w:lineRule="exact"/>
        <w:ind w:firstLine="608" w:firstLineChars="200"/>
        <w:rPr>
          <w:rFonts w:ascii="仿宋_GB2312" w:eastAsia="仿宋_GB2312"/>
          <w:color w:val="000000"/>
          <w:spacing w:val="-8"/>
          <w:sz w:val="32"/>
          <w:szCs w:val="32"/>
        </w:rPr>
      </w:pPr>
    </w:p>
    <w:p>
      <w:pPr>
        <w:pStyle w:val="2"/>
      </w:pPr>
    </w:p>
    <w:p/>
    <w:p>
      <w:pPr>
        <w:pStyle w:val="2"/>
      </w:pPr>
    </w:p>
    <w:p/>
    <w:p>
      <w:pPr>
        <w:rPr>
          <w:rFonts w:hint="eastAsia"/>
          <w:sz w:val="32"/>
          <w:szCs w:val="32"/>
        </w:rPr>
      </w:pPr>
      <w:r>
        <w:rPr>
          <w:rFonts w:hint="eastAsia"/>
          <w:sz w:val="32"/>
          <w:szCs w:val="32"/>
        </w:rPr>
        <w:br w:type="page"/>
      </w:r>
    </w:p>
    <w:p>
      <w:pPr>
        <w:pStyle w:val="2"/>
        <w:ind w:firstLine="0"/>
        <w:rPr>
          <w:rFonts w:hint="eastAsia"/>
          <w:sz w:val="32"/>
          <w:szCs w:val="32"/>
        </w:rPr>
      </w:pPr>
    </w:p>
    <w:p>
      <w:pPr>
        <w:pStyle w:val="2"/>
        <w:ind w:firstLine="640" w:firstLineChars="200"/>
        <w:rPr>
          <w:sz w:val="32"/>
          <w:szCs w:val="32"/>
        </w:rPr>
      </w:pPr>
      <w:r>
        <w:rPr>
          <w:rFonts w:hint="eastAsia"/>
          <w:sz w:val="32"/>
          <w:szCs w:val="32"/>
        </w:rPr>
        <w:t>（此页无正文）</w:t>
      </w:r>
    </w:p>
    <w:p/>
    <w:p>
      <w:pPr>
        <w:pStyle w:val="2"/>
      </w:pPr>
    </w:p>
    <w:p/>
    <w:p>
      <w:pPr>
        <w:pStyle w:val="2"/>
      </w:pPr>
    </w:p>
    <w:p/>
    <w:p>
      <w:pPr>
        <w:pStyle w:val="2"/>
      </w:pPr>
    </w:p>
    <w:p/>
    <w:p>
      <w:pPr>
        <w:pStyle w:val="2"/>
      </w:pPr>
    </w:p>
    <w:p/>
    <w:p/>
    <w:p>
      <w:pPr>
        <w:pStyle w:val="2"/>
      </w:pPr>
    </w:p>
    <w:p/>
    <w:p>
      <w:pPr>
        <w:pStyle w:val="2"/>
      </w:pPr>
    </w:p>
    <w:p/>
    <w:p>
      <w:pPr>
        <w:pStyle w:val="2"/>
      </w:pPr>
    </w:p>
    <w:p/>
    <w:p>
      <w:pPr>
        <w:pStyle w:val="2"/>
      </w:pPr>
    </w:p>
    <w:p/>
    <w:p>
      <w:pPr>
        <w:pStyle w:val="2"/>
      </w:pPr>
    </w:p>
    <w:p/>
    <w:p>
      <w:pPr>
        <w:pStyle w:val="2"/>
      </w:pPr>
    </w:p>
    <w:p/>
    <w:p>
      <w:pPr>
        <w:pStyle w:val="2"/>
      </w:pPr>
    </w:p>
    <w:p>
      <w:pPr>
        <w:spacing w:line="200" w:lineRule="exact"/>
        <w:rPr>
          <w:rFonts w:ascii="仿宋_GB2312" w:eastAsia="仿宋_GB2312"/>
          <w:sz w:val="32"/>
          <w:szCs w:val="32"/>
        </w:rPr>
      </w:pPr>
    </w:p>
    <w:p>
      <w:pPr>
        <w:spacing w:line="200" w:lineRule="exact"/>
        <w:rPr>
          <w:rFonts w:ascii="仿宋_GB2312" w:eastAsia="仿宋_GB2312"/>
          <w:sz w:val="32"/>
          <w:szCs w:val="32"/>
        </w:rPr>
      </w:pPr>
    </w:p>
    <w:p>
      <w:pPr>
        <w:spacing w:line="200" w:lineRule="exact"/>
        <w:rPr>
          <w:rFonts w:ascii="黑体" w:eastAsia="黑体"/>
          <w:color w:val="000000"/>
          <w:sz w:val="28"/>
        </w:rPr>
      </w:pPr>
      <w: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40640</wp:posOffset>
                </wp:positionV>
                <wp:extent cx="5507990" cy="25400"/>
                <wp:effectExtent l="0" t="9525" r="16510" b="22225"/>
                <wp:wrapNone/>
                <wp:docPr id="6" name="直接连接符 6"/>
                <wp:cNvGraphicFramePr/>
                <a:graphic xmlns:a="http://schemas.openxmlformats.org/drawingml/2006/main">
                  <a:graphicData uri="http://schemas.microsoft.com/office/word/2010/wordprocessingShape">
                    <wps:wsp>
                      <wps:cNvCnPr/>
                      <wps:spPr>
                        <a:xfrm>
                          <a:off x="0" y="0"/>
                          <a:ext cx="5507990" cy="25400"/>
                        </a:xfrm>
                        <a:prstGeom prst="line">
                          <a:avLst/>
                        </a:prstGeom>
                        <a:ln w="19050"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pt;margin-top:3.2pt;height:2pt;width:433.7pt;z-index:251659264;mso-width-relative:page;mso-height-relative:page;" filled="f" stroked="t" coordsize="21600,21600" o:gfxdata="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BYAAABkcnMvUEsBAhQAFAAAAAgAh07iQAZxwj3T&#10;AAAABQEAAA8AAAAAAAAAAQAgAAAAOAAAAGRycy9kb3ducmV2LnhtbFBLAQIUABQAAAAIAIdO4kCr&#10;to3Y1gEAAI8DAAAOAAAAAAAAAAEAIAAAADgBAABkcnMvZTJvRG9jLnhtbFBLBQYAAAAABgAGAFkB&#10;AACABQAAAAA=&#10;">
                <v:fill on="f" focussize="0,0"/>
                <v:stroke weight="1.5pt" color="#000000" joinstyle="round"/>
                <v:imagedata o:title=""/>
                <o:lock v:ext="edit" aspectratio="f"/>
              </v:line>
            </w:pict>
          </mc:Fallback>
        </mc:AlternateContent>
      </w:r>
    </w:p>
    <w:p>
      <w:pPr>
        <w:spacing w:line="340" w:lineRule="exact"/>
        <w:ind w:left="1124" w:hanging="1124" w:hangingChars="400"/>
        <w:rPr>
          <w:rFonts w:ascii="仿宋_GB2312" w:eastAsia="仿宋_GB2312"/>
          <w:sz w:val="28"/>
          <w:szCs w:val="28"/>
        </w:rPr>
      </w:pPr>
      <w:r>
        <w:rPr>
          <w:rFonts w:hint="eastAsia" w:ascii="仿宋_GB2312" w:eastAsia="仿宋_GB2312"/>
          <w:b/>
          <w:color w:val="000000"/>
          <w:sz w:val="28"/>
          <w:szCs w:val="28"/>
        </w:rPr>
        <w:t>抄</w:t>
      </w:r>
      <w:r>
        <w:rPr>
          <w:rFonts w:ascii="仿宋_GB2312" w:eastAsia="仿宋_GB2312"/>
          <w:b/>
          <w:color w:val="000000"/>
          <w:sz w:val="28"/>
          <w:szCs w:val="28"/>
        </w:rPr>
        <w:t xml:space="preserve"> </w:t>
      </w:r>
      <w:r>
        <w:rPr>
          <w:rFonts w:hint="eastAsia" w:ascii="仿宋_GB2312" w:eastAsia="仿宋_GB2312"/>
          <w:b/>
          <w:color w:val="000000"/>
          <w:sz w:val="28"/>
          <w:szCs w:val="28"/>
        </w:rPr>
        <w:t>送：</w:t>
      </w:r>
      <w:r>
        <w:rPr>
          <w:rFonts w:hint="eastAsia" w:ascii="仿宋_GB2312" w:eastAsia="仿宋_GB2312"/>
          <w:color w:val="000000"/>
          <w:sz w:val="28"/>
          <w:szCs w:val="28"/>
        </w:rPr>
        <w:t>市委办公室，市人大常委会办公室，市政协办公室，</w:t>
      </w:r>
      <w:r>
        <w:rPr>
          <w:rFonts w:hint="eastAsia" w:ascii="仿宋_GB2312" w:eastAsia="仿宋_GB2312"/>
          <w:sz w:val="28"/>
          <w:szCs w:val="28"/>
        </w:rPr>
        <w:t>市监察委，</w:t>
      </w:r>
    </w:p>
    <w:p>
      <w:pPr>
        <w:spacing w:line="340" w:lineRule="exact"/>
        <w:ind w:left="1121" w:leftChars="467" w:hanging="140" w:hangingChars="50"/>
        <w:rPr>
          <w:rFonts w:ascii="仿宋_GB2312" w:eastAsia="仿宋_GB2312"/>
          <w:color w:val="000000"/>
          <w:sz w:val="28"/>
          <w:szCs w:val="28"/>
        </w:rPr>
      </w:pPr>
      <w:r>
        <w:rPr>
          <w:rFonts w:hint="eastAsia" w:ascii="仿宋_GB2312" w:eastAsia="仿宋_GB2312"/>
          <w:color w:val="000000"/>
          <w:sz w:val="28"/>
          <w:szCs w:val="28"/>
        </w:rPr>
        <w:t>市法院，市检察院，市人武部。</w:t>
      </w:r>
    </w:p>
    <w:p>
      <w:pPr>
        <w:spacing w:line="240" w:lineRule="exact"/>
        <w:ind w:right="29" w:rightChars="14" w:firstLine="560"/>
        <w:rPr>
          <w:rFonts w:ascii="仿宋_GB2312" w:eastAsia="仿宋_GB2312"/>
          <w:color w:val="000000"/>
          <w:sz w:val="28"/>
          <w:szCs w:val="28"/>
        </w:rPr>
      </w:pPr>
      <w: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76200</wp:posOffset>
                </wp:positionV>
                <wp:extent cx="5507990" cy="0"/>
                <wp:effectExtent l="0" t="0" r="0" b="0"/>
                <wp:wrapNone/>
                <wp:docPr id="5" name="直接连接符 5"/>
                <wp:cNvGraphicFramePr/>
                <a:graphic xmlns:a="http://schemas.openxmlformats.org/drawingml/2006/main">
                  <a:graphicData uri="http://schemas.microsoft.com/office/word/2010/wordprocessingShape">
                    <wps:wsp>
                      <wps:cNvCnPr/>
                      <wps:spPr>
                        <a:xfrm>
                          <a:off x="0" y="0"/>
                          <a:ext cx="550799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pt;margin-top:6pt;height:0pt;width:433.7pt;z-index:251660288;mso-width-relative:page;mso-height-relative:page;" filled="f" stroked="t" coordsize="21600,21600" o:gfxdata="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BYAAABkcnMvUEsBAhQAFAAAAAgAh07iQBBQceDUAAAA&#10;BgEAAA8AAAAAAAAAAQAgAAAAOAAAAGRycy9kb3ducmV2LnhtbFBLAQIUABQAAAAIAIdO4kAsYzDh&#10;0gEAAIoDAAAOAAAAAAAAAAEAIAAAADkBAABkcnMvZTJvRG9jLnhtbFBLBQYAAAAABgAGAFkBAAB9&#10;BQAAAAA=&#10;">
                <v:fill on="f" focussize="0,0"/>
                <v:stroke color="#000000" joinstyle="round"/>
                <v:imagedata o:title=""/>
                <o:lock v:ext="edit" aspectratio="f"/>
              </v:line>
            </w:pict>
          </mc:Fallback>
        </mc:AlternateContent>
      </w:r>
    </w:p>
    <w:p>
      <w:pPr>
        <w:spacing w:line="340" w:lineRule="exact"/>
        <w:rPr>
          <w:rFonts w:hint="eastAsia" w:ascii="仿宋_GB2312" w:eastAsia="仿宋_GB2312"/>
          <w:color w:val="000000"/>
          <w:sz w:val="28"/>
          <w:szCs w:val="28"/>
        </w:rPr>
      </w:pPr>
      <w: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251460</wp:posOffset>
                </wp:positionV>
                <wp:extent cx="5507990" cy="7620"/>
                <wp:effectExtent l="0" t="0" r="0" b="0"/>
                <wp:wrapNone/>
                <wp:docPr id="4" name="直接连接符 4"/>
                <wp:cNvGraphicFramePr/>
                <a:graphic xmlns:a="http://schemas.openxmlformats.org/drawingml/2006/main">
                  <a:graphicData uri="http://schemas.microsoft.com/office/word/2010/wordprocessingShape">
                    <wps:wsp>
                      <wps:cNvCnPr/>
                      <wps:spPr>
                        <a:xfrm>
                          <a:off x="0" y="0"/>
                          <a:ext cx="5507990" cy="7620"/>
                        </a:xfrm>
                        <a:prstGeom prst="line">
                          <a:avLst/>
                        </a:prstGeom>
                        <a:ln w="19050"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pt;margin-top:19.8pt;height:0.6pt;width:433.7pt;z-index:251661312;mso-width-relative:page;mso-height-relative:page;" filled="f" stroked="t" coordsize="21600,21600" o:gfxdata="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BYAAABkcnMvUEsBAhQAFAAAAAgAh07iQDjY&#10;gYnVAAAABgEAAA8AAAAAAAAAAQAgAAAAOAAAAGRycy9kb3ducmV2LnhtbFBLAQIUABQAAAAIAIdO&#10;4kDbKRX91wEAAI4DAAAOAAAAAAAAAAEAIAAAADoBAABkcnMvZTJvRG9jLnhtbFBLBQYAAAAABgAG&#10;AFkBAACDBQAAAAA=&#10;">
                <v:fill on="f" focussize="0,0"/>
                <v:stroke weight="1.5pt" color="#000000" joinstyle="round"/>
                <v:imagedata o:title=""/>
                <o:lock v:ext="edit" aspectratio="f"/>
              </v:line>
            </w:pict>
          </mc:Fallback>
        </mc:AlternateContent>
      </w:r>
      <w:r>
        <w:rPr>
          <w:rFonts w:hint="eastAsia" w:ascii="仿宋_GB2312" w:eastAsia="仿宋_GB2312"/>
          <w:color w:val="000000"/>
          <w:sz w:val="28"/>
          <w:szCs w:val="28"/>
        </w:rPr>
        <w:t>滕州市人民政府办公室</w:t>
      </w:r>
      <w:r>
        <w:rPr>
          <w:rFonts w:ascii="仿宋_GB2312" w:eastAsia="仿宋_GB2312"/>
          <w:color w:val="000000"/>
          <w:sz w:val="28"/>
          <w:szCs w:val="28"/>
        </w:rPr>
        <w:t xml:space="preserve">                </w:t>
      </w:r>
      <w:r>
        <w:rPr>
          <w:rFonts w:hint="eastAsia" w:ascii="仿宋_GB2312" w:eastAsia="仿宋_GB2312"/>
          <w:color w:val="000000"/>
          <w:sz w:val="28"/>
          <w:szCs w:val="28"/>
          <w:lang w:val="en-US" w:eastAsia="zh-CN"/>
        </w:rPr>
        <w:t xml:space="preserve">  </w:t>
      </w:r>
      <w:r>
        <w:rPr>
          <w:rFonts w:ascii="仿宋_GB2312" w:eastAsia="仿宋_GB2312"/>
          <w:color w:val="000000"/>
          <w:sz w:val="28"/>
          <w:szCs w:val="28"/>
        </w:rPr>
        <w:t xml:space="preserve"> </w:t>
      </w:r>
      <w:r>
        <w:rPr>
          <w:rFonts w:hint="eastAsia" w:ascii="仿宋_GB2312" w:eastAsia="仿宋_GB2312"/>
          <w:color w:val="000000"/>
          <w:sz w:val="28"/>
          <w:szCs w:val="28"/>
        </w:rPr>
        <w:t xml:space="preserve"> </w:t>
      </w:r>
      <w:r>
        <w:rPr>
          <w:rFonts w:ascii="仿宋_GB2312" w:eastAsia="仿宋_GB2312"/>
          <w:color w:val="000000"/>
          <w:sz w:val="28"/>
          <w:szCs w:val="28"/>
        </w:rPr>
        <w:t xml:space="preserve">  20</w:t>
      </w:r>
      <w:r>
        <w:rPr>
          <w:rFonts w:hint="eastAsia" w:ascii="仿宋_GB2312" w:eastAsia="仿宋_GB2312"/>
          <w:color w:val="000000"/>
          <w:sz w:val="28"/>
          <w:szCs w:val="28"/>
        </w:rPr>
        <w:t>23年4月</w:t>
      </w:r>
      <w:r>
        <w:rPr>
          <w:rFonts w:ascii="仿宋_GB2312" w:eastAsia="仿宋_GB2312"/>
          <w:color w:val="000000"/>
          <w:sz w:val="28"/>
          <w:szCs w:val="28"/>
        </w:rPr>
        <w:t>28</w:t>
      </w:r>
      <w:r>
        <w:rPr>
          <w:rFonts w:hint="eastAsia" w:ascii="仿宋_GB2312" w:eastAsia="仿宋_GB2312"/>
          <w:color w:val="000000"/>
          <w:sz w:val="28"/>
          <w:szCs w:val="28"/>
        </w:rPr>
        <w:t>日印发</w:t>
      </w:r>
    </w:p>
    <w:p>
      <w:pPr>
        <w:rPr>
          <w:rFonts w:hint="eastAsia" w:ascii="仿宋_GB2312" w:eastAsia="仿宋_GB2312"/>
          <w:color w:val="000000"/>
          <w:sz w:val="28"/>
          <w:szCs w:val="28"/>
        </w:rPr>
      </w:pPr>
      <w:r>
        <w:rPr>
          <w:rFonts w:hint="eastAsia" w:ascii="仿宋_GB2312" w:eastAsia="仿宋_GB2312"/>
          <w:color w:val="000000"/>
          <w:sz w:val="28"/>
          <w:szCs w:val="28"/>
        </w:rPr>
        <w:br w:type="page"/>
      </w:r>
    </w:p>
    <w:p>
      <w:pPr>
        <w:pStyle w:val="2"/>
      </w:pPr>
      <w:r>
        <w:rPr>
          <w:sz w:val="36"/>
        </w:rPr>
        <mc:AlternateContent>
          <mc:Choice Requires="wps">
            <w:drawing>
              <wp:anchor distT="0" distB="0" distL="114300" distR="114300" simplePos="0" relativeHeight="251662336" behindDoc="0" locked="0" layoutInCell="1" allowOverlap="1">
                <wp:simplePos x="0" y="0"/>
                <wp:positionH relativeFrom="column">
                  <wp:posOffset>-169545</wp:posOffset>
                </wp:positionH>
                <wp:positionV relativeFrom="paragraph">
                  <wp:posOffset>8493125</wp:posOffset>
                </wp:positionV>
                <wp:extent cx="938530" cy="735965"/>
                <wp:effectExtent l="0" t="0" r="13970" b="6985"/>
                <wp:wrapNone/>
                <wp:docPr id="1" name="文本框 1"/>
                <wp:cNvGraphicFramePr/>
                <a:graphic xmlns:a="http://schemas.openxmlformats.org/drawingml/2006/main">
                  <a:graphicData uri="http://schemas.microsoft.com/office/word/2010/wordprocessingShape">
                    <wps:wsp>
                      <wps:cNvSpPr txBox="true"/>
                      <wps:spPr>
                        <a:xfrm>
                          <a:off x="838200" y="9500870"/>
                          <a:ext cx="938530" cy="73596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a:graphicData>
                </a:graphic>
              </wp:anchor>
            </w:drawing>
          </mc:Choice>
          <mc:Fallback>
            <w:pict>
              <v:shape id="_x0000_s1026" o:spid="_x0000_s1026" o:spt="202" type="#_x0000_t202" style="position:absolute;left:0pt;margin-left:-13.35pt;margin-top:668.75pt;height:57.95pt;width:73.9pt;z-index:251662336;mso-width-relative:page;mso-height-relative:page;" fillcolor="#FFFFFF [3201]" filled="t" stroked="f" coordsize="21600,21600" o:gfxdata="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FgAAAGRycy9QSwECFAAUAAAACACHTuJABcDEINgA&#10;AAANAQAADwAAAAAAAAABACAAAAA4AAAAZHJzL2Rvd25yZXYueG1sUEsBAhQAFAAAAAgAh07iQGrS&#10;llNCAgAAXQQAAA4AAAAAAAAAAQAgAAAAPQEAAGRycy9lMm9Eb2MueG1sUEsFBgAAAAAGAAYAWQEA&#10;APEFAAAAAA==&#10;">
                <v:fill on="t" focussize="0,0"/>
                <v:stroke on="f" weight="0.5pt"/>
                <v:imagedata o:title=""/>
                <o:lock v:ext="edit" aspectratio="f"/>
                <v:textbox>
                  <w:txbxContent>
                    <w:p/>
                  </w:txbxContent>
                </v:textbox>
              </v:shape>
            </w:pict>
          </mc:Fallback>
        </mc:AlternateContent>
      </w:r>
    </w:p>
    <w:sectPr>
      <w:footerReference r:id="rId3" w:type="default"/>
      <w:footerReference r:id="rId4" w:type="even"/>
      <w:pgSz w:w="11906" w:h="16838"/>
      <w:pgMar w:top="1587" w:right="1587" w:bottom="1587" w:left="1587" w:header="851" w:footer="992" w:gutter="0"/>
      <w:pgNumType w:fmt="numberInDash"/>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monospace">
    <w:altName w:val="Times New Roman"/>
    <w:panose1 w:val="00000000000000000000"/>
    <w:charset w:val="00"/>
    <w:family w:val="auto"/>
    <w:pitch w:val="default"/>
    <w:sig w:usb0="00000000" w:usb1="00000000" w:usb2="00000000" w:usb3="00000000" w:csb0="00040001" w:csb1="00000000"/>
  </w:font>
  <w:font w:name="华文仿宋">
    <w:altName w:val="汉仪仿宋简"/>
    <w:panose1 w:val="02010600040101010101"/>
    <w:charset w:val="86"/>
    <w:family w:val="auto"/>
    <w:pitch w:val="default"/>
    <w:sig w:usb0="00000000" w:usb1="00000000" w:usb2="00000000" w:usb3="00000000" w:csb0="0004009F" w:csb1="DFD70000"/>
  </w:font>
  <w:font w:name="?? ! important">
    <w:altName w:val="Times New Roman"/>
    <w:panose1 w:val="00000000000000000000"/>
    <w:charset w:val="00"/>
    <w:family w:val="auto"/>
    <w:pitch w:val="default"/>
    <w:sig w:usb0="00000000" w:usb1="00000000" w:usb2="00000000" w:usb3="00000000" w:csb0="00000001" w:csb1="00000000"/>
  </w:font>
  <w:font w:name="楷体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DejaVu Sans">
    <w:panose1 w:val="020B0603030804020204"/>
    <w:charset w:val="00"/>
    <w:family w:val="auto"/>
    <w:pitch w:val="default"/>
    <w:sig w:usb0="E7006EFF" w:usb1="D200FDFF" w:usb2="0A246029" w:usb3="0400200C" w:csb0="600001FF" w:csb1="DFFF0000"/>
  </w:font>
  <w:font w:name="Impact">
    <w:panose1 w:val="020B0806030902050204"/>
    <w:charset w:val="00"/>
    <w:family w:val="auto"/>
    <w:pitch w:val="default"/>
    <w:sig w:usb0="00000287" w:usb1="00000000" w:usb2="00000000" w:usb3="00000000" w:csb0="2000009F" w:csb1="DFD70000"/>
  </w:font>
  <w:font w:name="方正宋体S-超大字符集">
    <w:panose1 w:val="02000000000000000000"/>
    <w:charset w:val="86"/>
    <w:family w:val="auto"/>
    <w:pitch w:val="default"/>
    <w:sig w:usb0="00000001" w:usb1="08000000" w:usb2="00000000" w:usb3="00000000" w:csb0="00040000" w:csb1="00000000"/>
  </w:font>
  <w:font w:name="汉仪仿宋简">
    <w:panose1 w:val="02010600000101010101"/>
    <w:charset w:val="86"/>
    <w:family w:val="auto"/>
    <w:pitch w:val="default"/>
    <w:sig w:usb0="00000001" w:usb1="080E0800" w:usb2="00000002"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09573202"/>
    </w:sdtPr>
    <w:sdtContent>
      <w:p>
        <w:pPr>
          <w:pStyle w:val="20"/>
          <w:ind w:right="180"/>
          <w:jc w:val="right"/>
        </w:pPr>
        <w:r>
          <w:rPr>
            <w:rFonts w:ascii="宋体" w:hAnsi="宋体"/>
            <w:sz w:val="24"/>
            <w:szCs w:val="24"/>
          </w:rPr>
          <w:fldChar w:fldCharType="begin"/>
        </w:r>
        <w:r>
          <w:rPr>
            <w:rFonts w:ascii="宋体" w:hAnsi="宋体"/>
            <w:sz w:val="24"/>
            <w:szCs w:val="24"/>
          </w:rPr>
          <w:instrText xml:space="preserve">PAGE   \* MERGEFORMAT</w:instrText>
        </w:r>
        <w:r>
          <w:rPr>
            <w:rFonts w:ascii="宋体" w:hAnsi="宋体"/>
            <w:sz w:val="24"/>
            <w:szCs w:val="24"/>
          </w:rPr>
          <w:fldChar w:fldCharType="separate"/>
        </w:r>
        <w:r>
          <w:rPr>
            <w:rFonts w:ascii="宋体" w:hAnsi="宋体"/>
            <w:sz w:val="24"/>
            <w:szCs w:val="24"/>
            <w:lang w:val="zh-CN"/>
          </w:rPr>
          <w:t>-</w:t>
        </w:r>
        <w:r>
          <w:rPr>
            <w:rFonts w:ascii="宋体" w:hAnsi="宋体"/>
            <w:sz w:val="24"/>
            <w:szCs w:val="24"/>
          </w:rPr>
          <w:t xml:space="preserve"> 15 -</w:t>
        </w:r>
        <w:r>
          <w:rPr>
            <w:rFonts w:ascii="宋体" w:hAnsi="宋体"/>
            <w:sz w:val="24"/>
            <w:szCs w:val="24"/>
          </w:rPr>
          <w:fldChar w:fldCharType="end"/>
        </w:r>
      </w:p>
    </w:sdtContent>
  </w:sdt>
  <w:p>
    <w:pPr>
      <w:pStyle w:val="20"/>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83236217"/>
    </w:sdtPr>
    <w:sdtEndPr>
      <w:rPr>
        <w:rFonts w:ascii="宋体" w:hAnsi="宋体"/>
        <w:sz w:val="24"/>
        <w:szCs w:val="24"/>
      </w:rPr>
    </w:sdtEndPr>
    <w:sdtContent>
      <w:p>
        <w:pPr>
          <w:pStyle w:val="20"/>
          <w:rPr>
            <w:rFonts w:ascii="宋体" w:hAnsi="宋体"/>
            <w:sz w:val="24"/>
            <w:szCs w:val="24"/>
          </w:rPr>
        </w:pPr>
        <w:r>
          <w:rPr>
            <w:rFonts w:ascii="宋体" w:hAnsi="宋体"/>
            <w:sz w:val="24"/>
            <w:szCs w:val="24"/>
          </w:rPr>
          <w:fldChar w:fldCharType="begin"/>
        </w:r>
        <w:r>
          <w:rPr>
            <w:rFonts w:ascii="宋体" w:hAnsi="宋体"/>
            <w:sz w:val="24"/>
            <w:szCs w:val="24"/>
          </w:rPr>
          <w:instrText xml:space="preserve">PAGE   \* MERGEFORMAT</w:instrText>
        </w:r>
        <w:r>
          <w:rPr>
            <w:rFonts w:ascii="宋体" w:hAnsi="宋体"/>
            <w:sz w:val="24"/>
            <w:szCs w:val="24"/>
          </w:rPr>
          <w:fldChar w:fldCharType="separate"/>
        </w:r>
        <w:r>
          <w:rPr>
            <w:rFonts w:ascii="宋体" w:hAnsi="宋体"/>
            <w:sz w:val="24"/>
            <w:szCs w:val="24"/>
            <w:lang w:val="zh-CN"/>
          </w:rPr>
          <w:t>-</w:t>
        </w:r>
        <w:r>
          <w:rPr>
            <w:rFonts w:ascii="宋体" w:hAnsi="宋体"/>
            <w:sz w:val="24"/>
            <w:szCs w:val="24"/>
          </w:rPr>
          <w:t xml:space="preserve"> 16 -</w:t>
        </w:r>
        <w:r>
          <w:rPr>
            <w:rFonts w:ascii="宋体" w:hAnsi="宋体"/>
            <w:sz w:val="24"/>
            <w:szCs w:val="24"/>
          </w:rPr>
          <w:fldChar w:fldCharType="end"/>
        </w:r>
      </w:p>
    </w:sdtContent>
  </w:sdt>
  <w:p>
    <w:pPr>
      <w:pStyle w:val="20"/>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evenAndOddHeaders w:val="true"/>
  <w:drawingGridHorizontalSpacing w:val="105"/>
  <w:drawingGridVerticalSpacing w:val="156"/>
  <w:noPunctuationKerning w:val="true"/>
  <w:characterSpacingControl w:val="compressPunctuation"/>
  <w:noLineBreaksAfter w:lang="zh-CN" w:val="$([{£¥·‘“〈《「『【〔〖〝﹙﹛﹝＄（．［｛￡￥"/>
  <w:noLineBreaksBefore w:lang="zh-CN" w:val="!%),.:;&gt;?]}¢¨°·ˇˉ―‖’”…‰′″›℃∶、。〃〉》」』】〕〗〞︶︺︾﹀﹄﹚﹜﹞！＂％＇），．：；？］｀｜｝～￠"/>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Q4MzM1MTYxNmYxZjZlY2U4ZTIzMzEyMzI5MjVlMjUifQ=="/>
  </w:docVars>
  <w:rsids>
    <w:rsidRoot w:val="00013F34"/>
    <w:rsid w:val="0000015E"/>
    <w:rsid w:val="00000D80"/>
    <w:rsid w:val="00003E02"/>
    <w:rsid w:val="000040DE"/>
    <w:rsid w:val="00004B85"/>
    <w:rsid w:val="0000565C"/>
    <w:rsid w:val="000108E7"/>
    <w:rsid w:val="00010E33"/>
    <w:rsid w:val="000123E1"/>
    <w:rsid w:val="000123FF"/>
    <w:rsid w:val="000131E6"/>
    <w:rsid w:val="00013870"/>
    <w:rsid w:val="00013C22"/>
    <w:rsid w:val="00013F34"/>
    <w:rsid w:val="0001453B"/>
    <w:rsid w:val="00014A2E"/>
    <w:rsid w:val="00014AFC"/>
    <w:rsid w:val="00017076"/>
    <w:rsid w:val="00017E7B"/>
    <w:rsid w:val="00020DD7"/>
    <w:rsid w:val="000214DD"/>
    <w:rsid w:val="00022BF4"/>
    <w:rsid w:val="00023318"/>
    <w:rsid w:val="0002386F"/>
    <w:rsid w:val="000254D4"/>
    <w:rsid w:val="00025791"/>
    <w:rsid w:val="000261A8"/>
    <w:rsid w:val="00026468"/>
    <w:rsid w:val="00031839"/>
    <w:rsid w:val="00031D96"/>
    <w:rsid w:val="00033503"/>
    <w:rsid w:val="00033A2F"/>
    <w:rsid w:val="00034F23"/>
    <w:rsid w:val="000363BD"/>
    <w:rsid w:val="00037034"/>
    <w:rsid w:val="00041B41"/>
    <w:rsid w:val="00042A74"/>
    <w:rsid w:val="00044FFF"/>
    <w:rsid w:val="000462CD"/>
    <w:rsid w:val="00046F08"/>
    <w:rsid w:val="000519BC"/>
    <w:rsid w:val="00052404"/>
    <w:rsid w:val="000531AD"/>
    <w:rsid w:val="00053FFD"/>
    <w:rsid w:val="00054747"/>
    <w:rsid w:val="00055BEF"/>
    <w:rsid w:val="00056FEC"/>
    <w:rsid w:val="000572CE"/>
    <w:rsid w:val="00061EE3"/>
    <w:rsid w:val="0006213C"/>
    <w:rsid w:val="000638B2"/>
    <w:rsid w:val="00063D4C"/>
    <w:rsid w:val="000644B2"/>
    <w:rsid w:val="000645FE"/>
    <w:rsid w:val="000647B1"/>
    <w:rsid w:val="00064985"/>
    <w:rsid w:val="00065BED"/>
    <w:rsid w:val="0006761C"/>
    <w:rsid w:val="00067687"/>
    <w:rsid w:val="000676A1"/>
    <w:rsid w:val="00067D58"/>
    <w:rsid w:val="00070CA5"/>
    <w:rsid w:val="00071B7D"/>
    <w:rsid w:val="000720D7"/>
    <w:rsid w:val="00072B95"/>
    <w:rsid w:val="00072EE9"/>
    <w:rsid w:val="0007347C"/>
    <w:rsid w:val="00073998"/>
    <w:rsid w:val="000753D3"/>
    <w:rsid w:val="00075CC4"/>
    <w:rsid w:val="000770A0"/>
    <w:rsid w:val="00080F96"/>
    <w:rsid w:val="00081B7C"/>
    <w:rsid w:val="00081D6F"/>
    <w:rsid w:val="0008268F"/>
    <w:rsid w:val="0008496A"/>
    <w:rsid w:val="00085679"/>
    <w:rsid w:val="00085CAB"/>
    <w:rsid w:val="00086050"/>
    <w:rsid w:val="00087674"/>
    <w:rsid w:val="00087CC3"/>
    <w:rsid w:val="00092441"/>
    <w:rsid w:val="00092547"/>
    <w:rsid w:val="0009383C"/>
    <w:rsid w:val="00093998"/>
    <w:rsid w:val="00096FA6"/>
    <w:rsid w:val="000A0B8F"/>
    <w:rsid w:val="000A280E"/>
    <w:rsid w:val="000A2FCC"/>
    <w:rsid w:val="000A41EC"/>
    <w:rsid w:val="000A655D"/>
    <w:rsid w:val="000B0CEF"/>
    <w:rsid w:val="000B29EA"/>
    <w:rsid w:val="000B2FCA"/>
    <w:rsid w:val="000B37F2"/>
    <w:rsid w:val="000B3B71"/>
    <w:rsid w:val="000B54A7"/>
    <w:rsid w:val="000B5838"/>
    <w:rsid w:val="000B7856"/>
    <w:rsid w:val="000B7F17"/>
    <w:rsid w:val="000C0D2D"/>
    <w:rsid w:val="000C290E"/>
    <w:rsid w:val="000C4145"/>
    <w:rsid w:val="000C4AD5"/>
    <w:rsid w:val="000C5665"/>
    <w:rsid w:val="000C57BD"/>
    <w:rsid w:val="000C682C"/>
    <w:rsid w:val="000C7112"/>
    <w:rsid w:val="000D07BC"/>
    <w:rsid w:val="000D0E42"/>
    <w:rsid w:val="000D2F4D"/>
    <w:rsid w:val="000D45B0"/>
    <w:rsid w:val="000D5D3F"/>
    <w:rsid w:val="000D62D7"/>
    <w:rsid w:val="000D7C93"/>
    <w:rsid w:val="000E1056"/>
    <w:rsid w:val="000E21D5"/>
    <w:rsid w:val="000E2A29"/>
    <w:rsid w:val="000E2CD5"/>
    <w:rsid w:val="000E4011"/>
    <w:rsid w:val="000E4506"/>
    <w:rsid w:val="000E6601"/>
    <w:rsid w:val="000E77BF"/>
    <w:rsid w:val="000F0918"/>
    <w:rsid w:val="000F1D11"/>
    <w:rsid w:val="000F24B2"/>
    <w:rsid w:val="000F3BAC"/>
    <w:rsid w:val="000F3BE0"/>
    <w:rsid w:val="000F4570"/>
    <w:rsid w:val="000F5B7C"/>
    <w:rsid w:val="000F6FF5"/>
    <w:rsid w:val="000F76E4"/>
    <w:rsid w:val="000F7795"/>
    <w:rsid w:val="000F7D00"/>
    <w:rsid w:val="001006C0"/>
    <w:rsid w:val="00100D55"/>
    <w:rsid w:val="00100FB5"/>
    <w:rsid w:val="00101F9A"/>
    <w:rsid w:val="00102B17"/>
    <w:rsid w:val="00102BCF"/>
    <w:rsid w:val="001035A6"/>
    <w:rsid w:val="00105624"/>
    <w:rsid w:val="0011065E"/>
    <w:rsid w:val="001107F2"/>
    <w:rsid w:val="00110F66"/>
    <w:rsid w:val="001112FA"/>
    <w:rsid w:val="00111FD1"/>
    <w:rsid w:val="00113392"/>
    <w:rsid w:val="00114829"/>
    <w:rsid w:val="00115A06"/>
    <w:rsid w:val="00120607"/>
    <w:rsid w:val="00120AF8"/>
    <w:rsid w:val="00120EDE"/>
    <w:rsid w:val="0012159D"/>
    <w:rsid w:val="00123479"/>
    <w:rsid w:val="0012506E"/>
    <w:rsid w:val="00127164"/>
    <w:rsid w:val="0012789A"/>
    <w:rsid w:val="001301FC"/>
    <w:rsid w:val="00131630"/>
    <w:rsid w:val="00132E13"/>
    <w:rsid w:val="00132F1C"/>
    <w:rsid w:val="001339EF"/>
    <w:rsid w:val="0013446D"/>
    <w:rsid w:val="00134525"/>
    <w:rsid w:val="001360EA"/>
    <w:rsid w:val="001365A8"/>
    <w:rsid w:val="0013696A"/>
    <w:rsid w:val="00136A1B"/>
    <w:rsid w:val="001377A0"/>
    <w:rsid w:val="00140BE6"/>
    <w:rsid w:val="0014198C"/>
    <w:rsid w:val="00143075"/>
    <w:rsid w:val="00144CFD"/>
    <w:rsid w:val="001510B7"/>
    <w:rsid w:val="001510CC"/>
    <w:rsid w:val="001517D3"/>
    <w:rsid w:val="00151E9F"/>
    <w:rsid w:val="00153C93"/>
    <w:rsid w:val="0015410F"/>
    <w:rsid w:val="00160B66"/>
    <w:rsid w:val="00160C6A"/>
    <w:rsid w:val="00161959"/>
    <w:rsid w:val="00161DEB"/>
    <w:rsid w:val="00162BDD"/>
    <w:rsid w:val="001646CD"/>
    <w:rsid w:val="001702D5"/>
    <w:rsid w:val="00170EDC"/>
    <w:rsid w:val="00172DE9"/>
    <w:rsid w:val="0017347F"/>
    <w:rsid w:val="0017350F"/>
    <w:rsid w:val="00175AA4"/>
    <w:rsid w:val="00176AD2"/>
    <w:rsid w:val="00176D02"/>
    <w:rsid w:val="00184BEE"/>
    <w:rsid w:val="001854AB"/>
    <w:rsid w:val="00185E43"/>
    <w:rsid w:val="00185E6B"/>
    <w:rsid w:val="00185FBB"/>
    <w:rsid w:val="00187147"/>
    <w:rsid w:val="00193E33"/>
    <w:rsid w:val="00195149"/>
    <w:rsid w:val="00196319"/>
    <w:rsid w:val="0019657C"/>
    <w:rsid w:val="00196733"/>
    <w:rsid w:val="001A084D"/>
    <w:rsid w:val="001A10C2"/>
    <w:rsid w:val="001A140E"/>
    <w:rsid w:val="001A1F9E"/>
    <w:rsid w:val="001A24F1"/>
    <w:rsid w:val="001A60F1"/>
    <w:rsid w:val="001A6154"/>
    <w:rsid w:val="001A6CE6"/>
    <w:rsid w:val="001A6E7A"/>
    <w:rsid w:val="001A71B7"/>
    <w:rsid w:val="001A74D5"/>
    <w:rsid w:val="001A793F"/>
    <w:rsid w:val="001B0A2C"/>
    <w:rsid w:val="001B0ABC"/>
    <w:rsid w:val="001B0AC5"/>
    <w:rsid w:val="001B22DC"/>
    <w:rsid w:val="001B4D0B"/>
    <w:rsid w:val="001B5A43"/>
    <w:rsid w:val="001B75D8"/>
    <w:rsid w:val="001C023F"/>
    <w:rsid w:val="001C033B"/>
    <w:rsid w:val="001C0464"/>
    <w:rsid w:val="001C205F"/>
    <w:rsid w:val="001C2881"/>
    <w:rsid w:val="001C295E"/>
    <w:rsid w:val="001C3C46"/>
    <w:rsid w:val="001C3E02"/>
    <w:rsid w:val="001C4BF3"/>
    <w:rsid w:val="001C4DA9"/>
    <w:rsid w:val="001C7C54"/>
    <w:rsid w:val="001D0896"/>
    <w:rsid w:val="001D2E6E"/>
    <w:rsid w:val="001D59D3"/>
    <w:rsid w:val="001E1D7B"/>
    <w:rsid w:val="001E41B8"/>
    <w:rsid w:val="001E47A7"/>
    <w:rsid w:val="001E56E5"/>
    <w:rsid w:val="001E789C"/>
    <w:rsid w:val="001E79F2"/>
    <w:rsid w:val="001F03E4"/>
    <w:rsid w:val="001F09FC"/>
    <w:rsid w:val="001F1A6F"/>
    <w:rsid w:val="001F1A9E"/>
    <w:rsid w:val="001F3B75"/>
    <w:rsid w:val="001F5D16"/>
    <w:rsid w:val="001F65C3"/>
    <w:rsid w:val="001F7852"/>
    <w:rsid w:val="00200E8C"/>
    <w:rsid w:val="00203B60"/>
    <w:rsid w:val="00203B7E"/>
    <w:rsid w:val="00204D89"/>
    <w:rsid w:val="00206063"/>
    <w:rsid w:val="00206840"/>
    <w:rsid w:val="002069B3"/>
    <w:rsid w:val="00206E21"/>
    <w:rsid w:val="00207E1B"/>
    <w:rsid w:val="00207FA6"/>
    <w:rsid w:val="002112E4"/>
    <w:rsid w:val="00215600"/>
    <w:rsid w:val="00215C0A"/>
    <w:rsid w:val="00216498"/>
    <w:rsid w:val="00216671"/>
    <w:rsid w:val="00216887"/>
    <w:rsid w:val="0021781E"/>
    <w:rsid w:val="00220507"/>
    <w:rsid w:val="002207CE"/>
    <w:rsid w:val="00221EEA"/>
    <w:rsid w:val="00222FEA"/>
    <w:rsid w:val="00223A0B"/>
    <w:rsid w:val="00223A5C"/>
    <w:rsid w:val="00223D7C"/>
    <w:rsid w:val="00224C76"/>
    <w:rsid w:val="0022526A"/>
    <w:rsid w:val="002266E2"/>
    <w:rsid w:val="00231E46"/>
    <w:rsid w:val="0023244C"/>
    <w:rsid w:val="00232779"/>
    <w:rsid w:val="00232C34"/>
    <w:rsid w:val="00233D3E"/>
    <w:rsid w:val="00237ABD"/>
    <w:rsid w:val="00237DC1"/>
    <w:rsid w:val="002405A5"/>
    <w:rsid w:val="00241C2A"/>
    <w:rsid w:val="00242D42"/>
    <w:rsid w:val="00242F2A"/>
    <w:rsid w:val="00244354"/>
    <w:rsid w:val="00245212"/>
    <w:rsid w:val="00245382"/>
    <w:rsid w:val="00245438"/>
    <w:rsid w:val="0024570D"/>
    <w:rsid w:val="00245FB0"/>
    <w:rsid w:val="00251860"/>
    <w:rsid w:val="00251B21"/>
    <w:rsid w:val="002538CE"/>
    <w:rsid w:val="0025790A"/>
    <w:rsid w:val="002621AB"/>
    <w:rsid w:val="0026472A"/>
    <w:rsid w:val="00270306"/>
    <w:rsid w:val="002704F0"/>
    <w:rsid w:val="00270C4B"/>
    <w:rsid w:val="00270FFF"/>
    <w:rsid w:val="00274B40"/>
    <w:rsid w:val="00275293"/>
    <w:rsid w:val="00277883"/>
    <w:rsid w:val="00280C55"/>
    <w:rsid w:val="00280D02"/>
    <w:rsid w:val="002823C7"/>
    <w:rsid w:val="0028411A"/>
    <w:rsid w:val="00285281"/>
    <w:rsid w:val="002855A2"/>
    <w:rsid w:val="0028631D"/>
    <w:rsid w:val="00287D7F"/>
    <w:rsid w:val="002955E6"/>
    <w:rsid w:val="00295BF0"/>
    <w:rsid w:val="00295E26"/>
    <w:rsid w:val="002968E6"/>
    <w:rsid w:val="00296B53"/>
    <w:rsid w:val="00296BA9"/>
    <w:rsid w:val="00297F63"/>
    <w:rsid w:val="00297F7E"/>
    <w:rsid w:val="002A0DBA"/>
    <w:rsid w:val="002A1C50"/>
    <w:rsid w:val="002A25E5"/>
    <w:rsid w:val="002A3316"/>
    <w:rsid w:val="002A3ABF"/>
    <w:rsid w:val="002A404A"/>
    <w:rsid w:val="002A55AD"/>
    <w:rsid w:val="002A57D7"/>
    <w:rsid w:val="002A63EF"/>
    <w:rsid w:val="002A692D"/>
    <w:rsid w:val="002A6D1F"/>
    <w:rsid w:val="002B0100"/>
    <w:rsid w:val="002B08BA"/>
    <w:rsid w:val="002B091F"/>
    <w:rsid w:val="002B0AFD"/>
    <w:rsid w:val="002B1B93"/>
    <w:rsid w:val="002B2B01"/>
    <w:rsid w:val="002B3A58"/>
    <w:rsid w:val="002B55F5"/>
    <w:rsid w:val="002B5774"/>
    <w:rsid w:val="002B62CD"/>
    <w:rsid w:val="002B69E6"/>
    <w:rsid w:val="002B6C9E"/>
    <w:rsid w:val="002B7AD6"/>
    <w:rsid w:val="002B7B1C"/>
    <w:rsid w:val="002C3956"/>
    <w:rsid w:val="002C439F"/>
    <w:rsid w:val="002C45A9"/>
    <w:rsid w:val="002D12BD"/>
    <w:rsid w:val="002D1776"/>
    <w:rsid w:val="002D2D91"/>
    <w:rsid w:val="002D48EA"/>
    <w:rsid w:val="002D4C78"/>
    <w:rsid w:val="002D6198"/>
    <w:rsid w:val="002D7AEE"/>
    <w:rsid w:val="002E1239"/>
    <w:rsid w:val="002E366F"/>
    <w:rsid w:val="002E433E"/>
    <w:rsid w:val="002E5265"/>
    <w:rsid w:val="002F0D78"/>
    <w:rsid w:val="002F14E7"/>
    <w:rsid w:val="002F1515"/>
    <w:rsid w:val="002F1B45"/>
    <w:rsid w:val="002F267D"/>
    <w:rsid w:val="002F2F79"/>
    <w:rsid w:val="002F32C0"/>
    <w:rsid w:val="002F496E"/>
    <w:rsid w:val="002F54B7"/>
    <w:rsid w:val="002F5572"/>
    <w:rsid w:val="002F7F19"/>
    <w:rsid w:val="00300743"/>
    <w:rsid w:val="00302173"/>
    <w:rsid w:val="00302A07"/>
    <w:rsid w:val="00305D0A"/>
    <w:rsid w:val="00306295"/>
    <w:rsid w:val="00307478"/>
    <w:rsid w:val="003105AB"/>
    <w:rsid w:val="003124D2"/>
    <w:rsid w:val="00313309"/>
    <w:rsid w:val="00313F72"/>
    <w:rsid w:val="003141F7"/>
    <w:rsid w:val="00317575"/>
    <w:rsid w:val="00320625"/>
    <w:rsid w:val="00320876"/>
    <w:rsid w:val="0032356B"/>
    <w:rsid w:val="00323B49"/>
    <w:rsid w:val="0032405C"/>
    <w:rsid w:val="00327C39"/>
    <w:rsid w:val="003304FA"/>
    <w:rsid w:val="0033190E"/>
    <w:rsid w:val="00331BBF"/>
    <w:rsid w:val="00331D2A"/>
    <w:rsid w:val="00332E97"/>
    <w:rsid w:val="00333642"/>
    <w:rsid w:val="00335D46"/>
    <w:rsid w:val="00335F57"/>
    <w:rsid w:val="00335F7D"/>
    <w:rsid w:val="00336A35"/>
    <w:rsid w:val="00336D24"/>
    <w:rsid w:val="0034311C"/>
    <w:rsid w:val="0034446C"/>
    <w:rsid w:val="00344535"/>
    <w:rsid w:val="00345693"/>
    <w:rsid w:val="00346999"/>
    <w:rsid w:val="003471F5"/>
    <w:rsid w:val="003473E5"/>
    <w:rsid w:val="00347AA0"/>
    <w:rsid w:val="003524F9"/>
    <w:rsid w:val="003525F3"/>
    <w:rsid w:val="00353B5A"/>
    <w:rsid w:val="00356876"/>
    <w:rsid w:val="00356A5A"/>
    <w:rsid w:val="0035725E"/>
    <w:rsid w:val="00357FF9"/>
    <w:rsid w:val="0036064B"/>
    <w:rsid w:val="00362336"/>
    <w:rsid w:val="00362504"/>
    <w:rsid w:val="00363791"/>
    <w:rsid w:val="00363A75"/>
    <w:rsid w:val="00363B94"/>
    <w:rsid w:val="00364795"/>
    <w:rsid w:val="0036512A"/>
    <w:rsid w:val="00365C65"/>
    <w:rsid w:val="00367241"/>
    <w:rsid w:val="00371EB5"/>
    <w:rsid w:val="003724C9"/>
    <w:rsid w:val="00372D0F"/>
    <w:rsid w:val="003749E5"/>
    <w:rsid w:val="00377AA1"/>
    <w:rsid w:val="003808C6"/>
    <w:rsid w:val="00380A59"/>
    <w:rsid w:val="00380FD8"/>
    <w:rsid w:val="00381AB5"/>
    <w:rsid w:val="00383CF1"/>
    <w:rsid w:val="00383E50"/>
    <w:rsid w:val="00385455"/>
    <w:rsid w:val="0038740A"/>
    <w:rsid w:val="003901B0"/>
    <w:rsid w:val="00391645"/>
    <w:rsid w:val="00391826"/>
    <w:rsid w:val="00391AE4"/>
    <w:rsid w:val="0039204A"/>
    <w:rsid w:val="00392463"/>
    <w:rsid w:val="00394AB8"/>
    <w:rsid w:val="00395840"/>
    <w:rsid w:val="00397862"/>
    <w:rsid w:val="003A2167"/>
    <w:rsid w:val="003A2868"/>
    <w:rsid w:val="003A3626"/>
    <w:rsid w:val="003A5627"/>
    <w:rsid w:val="003A5886"/>
    <w:rsid w:val="003A6095"/>
    <w:rsid w:val="003A7B53"/>
    <w:rsid w:val="003B0B7B"/>
    <w:rsid w:val="003B0EB6"/>
    <w:rsid w:val="003B274B"/>
    <w:rsid w:val="003B2EA4"/>
    <w:rsid w:val="003B3F58"/>
    <w:rsid w:val="003B4D81"/>
    <w:rsid w:val="003B5A90"/>
    <w:rsid w:val="003B66A9"/>
    <w:rsid w:val="003B6ED5"/>
    <w:rsid w:val="003B70DC"/>
    <w:rsid w:val="003C01A7"/>
    <w:rsid w:val="003C1475"/>
    <w:rsid w:val="003C1D74"/>
    <w:rsid w:val="003C22FC"/>
    <w:rsid w:val="003C27F6"/>
    <w:rsid w:val="003C3E7F"/>
    <w:rsid w:val="003C4214"/>
    <w:rsid w:val="003C5ABD"/>
    <w:rsid w:val="003D147A"/>
    <w:rsid w:val="003D2F37"/>
    <w:rsid w:val="003D48D8"/>
    <w:rsid w:val="003D7670"/>
    <w:rsid w:val="003E0288"/>
    <w:rsid w:val="003E30EB"/>
    <w:rsid w:val="003E3BC6"/>
    <w:rsid w:val="003E4E12"/>
    <w:rsid w:val="003E6676"/>
    <w:rsid w:val="003E69B5"/>
    <w:rsid w:val="003E774F"/>
    <w:rsid w:val="003E77BB"/>
    <w:rsid w:val="003F1248"/>
    <w:rsid w:val="003F12B4"/>
    <w:rsid w:val="003F12E4"/>
    <w:rsid w:val="003F1698"/>
    <w:rsid w:val="003F1A04"/>
    <w:rsid w:val="003F4106"/>
    <w:rsid w:val="003F470C"/>
    <w:rsid w:val="003F7E77"/>
    <w:rsid w:val="0040037A"/>
    <w:rsid w:val="004026F0"/>
    <w:rsid w:val="00402753"/>
    <w:rsid w:val="004030AD"/>
    <w:rsid w:val="0040441A"/>
    <w:rsid w:val="00407AE7"/>
    <w:rsid w:val="00410883"/>
    <w:rsid w:val="00412018"/>
    <w:rsid w:val="004131A1"/>
    <w:rsid w:val="00413C57"/>
    <w:rsid w:val="00415132"/>
    <w:rsid w:val="00415ED1"/>
    <w:rsid w:val="00416A6D"/>
    <w:rsid w:val="004178C0"/>
    <w:rsid w:val="00420127"/>
    <w:rsid w:val="00421626"/>
    <w:rsid w:val="00421AB9"/>
    <w:rsid w:val="00423D61"/>
    <w:rsid w:val="00425492"/>
    <w:rsid w:val="004257E5"/>
    <w:rsid w:val="00425DB7"/>
    <w:rsid w:val="0042722B"/>
    <w:rsid w:val="00427694"/>
    <w:rsid w:val="00427771"/>
    <w:rsid w:val="004277FC"/>
    <w:rsid w:val="0043016F"/>
    <w:rsid w:val="00431681"/>
    <w:rsid w:val="00431A26"/>
    <w:rsid w:val="00431E28"/>
    <w:rsid w:val="00431F89"/>
    <w:rsid w:val="004344DF"/>
    <w:rsid w:val="00435F5A"/>
    <w:rsid w:val="00440388"/>
    <w:rsid w:val="004407EF"/>
    <w:rsid w:val="004415A9"/>
    <w:rsid w:val="00441A39"/>
    <w:rsid w:val="00443FA9"/>
    <w:rsid w:val="00444372"/>
    <w:rsid w:val="004450EF"/>
    <w:rsid w:val="0044560F"/>
    <w:rsid w:val="00446110"/>
    <w:rsid w:val="00446682"/>
    <w:rsid w:val="004507E2"/>
    <w:rsid w:val="00450E7B"/>
    <w:rsid w:val="004528E7"/>
    <w:rsid w:val="0045395C"/>
    <w:rsid w:val="00453D51"/>
    <w:rsid w:val="004567A6"/>
    <w:rsid w:val="0045753F"/>
    <w:rsid w:val="00457AB3"/>
    <w:rsid w:val="00461F90"/>
    <w:rsid w:val="00462415"/>
    <w:rsid w:val="00462C20"/>
    <w:rsid w:val="004642A9"/>
    <w:rsid w:val="00464F88"/>
    <w:rsid w:val="00465213"/>
    <w:rsid w:val="00465388"/>
    <w:rsid w:val="00465DD6"/>
    <w:rsid w:val="004670D4"/>
    <w:rsid w:val="00467E50"/>
    <w:rsid w:val="00472458"/>
    <w:rsid w:val="00472688"/>
    <w:rsid w:val="00473921"/>
    <w:rsid w:val="00475056"/>
    <w:rsid w:val="004758CF"/>
    <w:rsid w:val="00476983"/>
    <w:rsid w:val="00477CA3"/>
    <w:rsid w:val="004803E6"/>
    <w:rsid w:val="00480802"/>
    <w:rsid w:val="0048136A"/>
    <w:rsid w:val="004814C4"/>
    <w:rsid w:val="0048212C"/>
    <w:rsid w:val="00482C4F"/>
    <w:rsid w:val="00482D96"/>
    <w:rsid w:val="004833FF"/>
    <w:rsid w:val="00484007"/>
    <w:rsid w:val="0048457E"/>
    <w:rsid w:val="00484D59"/>
    <w:rsid w:val="0048557C"/>
    <w:rsid w:val="00485CD4"/>
    <w:rsid w:val="004870F4"/>
    <w:rsid w:val="00487311"/>
    <w:rsid w:val="00490E16"/>
    <w:rsid w:val="0049106D"/>
    <w:rsid w:val="004920BB"/>
    <w:rsid w:val="004929DD"/>
    <w:rsid w:val="004938BA"/>
    <w:rsid w:val="00493934"/>
    <w:rsid w:val="00493FCD"/>
    <w:rsid w:val="00494793"/>
    <w:rsid w:val="004958B8"/>
    <w:rsid w:val="00495FC5"/>
    <w:rsid w:val="0049621D"/>
    <w:rsid w:val="00496374"/>
    <w:rsid w:val="00496F7E"/>
    <w:rsid w:val="004976C4"/>
    <w:rsid w:val="00497BDD"/>
    <w:rsid w:val="004A0ED2"/>
    <w:rsid w:val="004A111D"/>
    <w:rsid w:val="004A12AE"/>
    <w:rsid w:val="004A1303"/>
    <w:rsid w:val="004A1CF3"/>
    <w:rsid w:val="004A22FE"/>
    <w:rsid w:val="004A3F62"/>
    <w:rsid w:val="004A4B79"/>
    <w:rsid w:val="004A4BFC"/>
    <w:rsid w:val="004B0372"/>
    <w:rsid w:val="004B335D"/>
    <w:rsid w:val="004B37E9"/>
    <w:rsid w:val="004B3A07"/>
    <w:rsid w:val="004B4317"/>
    <w:rsid w:val="004B4370"/>
    <w:rsid w:val="004B45E1"/>
    <w:rsid w:val="004B4A1C"/>
    <w:rsid w:val="004B4AA3"/>
    <w:rsid w:val="004C179E"/>
    <w:rsid w:val="004C1A0E"/>
    <w:rsid w:val="004C54BD"/>
    <w:rsid w:val="004C5B37"/>
    <w:rsid w:val="004C6D17"/>
    <w:rsid w:val="004D0C02"/>
    <w:rsid w:val="004D11BC"/>
    <w:rsid w:val="004D182A"/>
    <w:rsid w:val="004D1F58"/>
    <w:rsid w:val="004D25A9"/>
    <w:rsid w:val="004D2C9A"/>
    <w:rsid w:val="004D3BDD"/>
    <w:rsid w:val="004D4342"/>
    <w:rsid w:val="004D4DD1"/>
    <w:rsid w:val="004D5D07"/>
    <w:rsid w:val="004D6CD4"/>
    <w:rsid w:val="004D71C4"/>
    <w:rsid w:val="004D7E1B"/>
    <w:rsid w:val="004E02C9"/>
    <w:rsid w:val="004E0578"/>
    <w:rsid w:val="004E172A"/>
    <w:rsid w:val="004E19FB"/>
    <w:rsid w:val="004E2175"/>
    <w:rsid w:val="004E2775"/>
    <w:rsid w:val="004E29D3"/>
    <w:rsid w:val="004E6193"/>
    <w:rsid w:val="004E6D96"/>
    <w:rsid w:val="004E79DA"/>
    <w:rsid w:val="004F019A"/>
    <w:rsid w:val="004F1DAC"/>
    <w:rsid w:val="004F2BC4"/>
    <w:rsid w:val="004F4F49"/>
    <w:rsid w:val="004F65F2"/>
    <w:rsid w:val="004F787A"/>
    <w:rsid w:val="00501349"/>
    <w:rsid w:val="00502D75"/>
    <w:rsid w:val="00504208"/>
    <w:rsid w:val="00504BD1"/>
    <w:rsid w:val="00505612"/>
    <w:rsid w:val="00511392"/>
    <w:rsid w:val="005115FD"/>
    <w:rsid w:val="00512F09"/>
    <w:rsid w:val="00513BCA"/>
    <w:rsid w:val="00513E5D"/>
    <w:rsid w:val="005141C8"/>
    <w:rsid w:val="00514396"/>
    <w:rsid w:val="00514F0E"/>
    <w:rsid w:val="00516D1F"/>
    <w:rsid w:val="00516F30"/>
    <w:rsid w:val="00517F16"/>
    <w:rsid w:val="005202ED"/>
    <w:rsid w:val="00520A89"/>
    <w:rsid w:val="0052148F"/>
    <w:rsid w:val="00521AE8"/>
    <w:rsid w:val="00522205"/>
    <w:rsid w:val="00522939"/>
    <w:rsid w:val="00522ACE"/>
    <w:rsid w:val="00522AD9"/>
    <w:rsid w:val="00523101"/>
    <w:rsid w:val="005238F0"/>
    <w:rsid w:val="0052410A"/>
    <w:rsid w:val="0052573A"/>
    <w:rsid w:val="00526D38"/>
    <w:rsid w:val="0052786B"/>
    <w:rsid w:val="005279FE"/>
    <w:rsid w:val="00527BC5"/>
    <w:rsid w:val="0053009A"/>
    <w:rsid w:val="00530B76"/>
    <w:rsid w:val="0053607D"/>
    <w:rsid w:val="0053678F"/>
    <w:rsid w:val="00537800"/>
    <w:rsid w:val="00537AD5"/>
    <w:rsid w:val="005417D2"/>
    <w:rsid w:val="00542147"/>
    <w:rsid w:val="00542618"/>
    <w:rsid w:val="00542DC8"/>
    <w:rsid w:val="00543151"/>
    <w:rsid w:val="00544D37"/>
    <w:rsid w:val="00546CE3"/>
    <w:rsid w:val="005472FE"/>
    <w:rsid w:val="00550748"/>
    <w:rsid w:val="00550807"/>
    <w:rsid w:val="00550D54"/>
    <w:rsid w:val="0055191E"/>
    <w:rsid w:val="00552FFF"/>
    <w:rsid w:val="0055300C"/>
    <w:rsid w:val="005542A5"/>
    <w:rsid w:val="00554759"/>
    <w:rsid w:val="00557A17"/>
    <w:rsid w:val="00560B07"/>
    <w:rsid w:val="00563E5B"/>
    <w:rsid w:val="00564A59"/>
    <w:rsid w:val="00564C2D"/>
    <w:rsid w:val="00564E04"/>
    <w:rsid w:val="005674C3"/>
    <w:rsid w:val="00567D9B"/>
    <w:rsid w:val="0057043E"/>
    <w:rsid w:val="00570753"/>
    <w:rsid w:val="00570A7B"/>
    <w:rsid w:val="00571EE4"/>
    <w:rsid w:val="005731CC"/>
    <w:rsid w:val="005742CB"/>
    <w:rsid w:val="00574FEE"/>
    <w:rsid w:val="00575410"/>
    <w:rsid w:val="005762FB"/>
    <w:rsid w:val="00576FAB"/>
    <w:rsid w:val="0057797F"/>
    <w:rsid w:val="005810EA"/>
    <w:rsid w:val="005816AC"/>
    <w:rsid w:val="00582282"/>
    <w:rsid w:val="0058233C"/>
    <w:rsid w:val="00582472"/>
    <w:rsid w:val="00582583"/>
    <w:rsid w:val="00583E5B"/>
    <w:rsid w:val="00585672"/>
    <w:rsid w:val="005862B0"/>
    <w:rsid w:val="0058703A"/>
    <w:rsid w:val="0059007B"/>
    <w:rsid w:val="00592165"/>
    <w:rsid w:val="00593EC9"/>
    <w:rsid w:val="00594196"/>
    <w:rsid w:val="00594E78"/>
    <w:rsid w:val="00596282"/>
    <w:rsid w:val="005963BD"/>
    <w:rsid w:val="00597733"/>
    <w:rsid w:val="00597F69"/>
    <w:rsid w:val="005A22DB"/>
    <w:rsid w:val="005A2C14"/>
    <w:rsid w:val="005A4B4B"/>
    <w:rsid w:val="005A5C56"/>
    <w:rsid w:val="005A64FD"/>
    <w:rsid w:val="005A6C96"/>
    <w:rsid w:val="005A7612"/>
    <w:rsid w:val="005B1266"/>
    <w:rsid w:val="005B1A14"/>
    <w:rsid w:val="005B300D"/>
    <w:rsid w:val="005B446F"/>
    <w:rsid w:val="005B4FB4"/>
    <w:rsid w:val="005B7974"/>
    <w:rsid w:val="005C0B1B"/>
    <w:rsid w:val="005C123B"/>
    <w:rsid w:val="005C134C"/>
    <w:rsid w:val="005C265F"/>
    <w:rsid w:val="005C29FF"/>
    <w:rsid w:val="005C3620"/>
    <w:rsid w:val="005C5ACF"/>
    <w:rsid w:val="005C6FAB"/>
    <w:rsid w:val="005C72E7"/>
    <w:rsid w:val="005D0C6E"/>
    <w:rsid w:val="005D0DE1"/>
    <w:rsid w:val="005D19A8"/>
    <w:rsid w:val="005D2F89"/>
    <w:rsid w:val="005D3092"/>
    <w:rsid w:val="005D482C"/>
    <w:rsid w:val="005D4A9B"/>
    <w:rsid w:val="005D4B6D"/>
    <w:rsid w:val="005D4B92"/>
    <w:rsid w:val="005D4BF9"/>
    <w:rsid w:val="005D530D"/>
    <w:rsid w:val="005D557F"/>
    <w:rsid w:val="005E25C7"/>
    <w:rsid w:val="005E3277"/>
    <w:rsid w:val="005E3EDC"/>
    <w:rsid w:val="005E4E30"/>
    <w:rsid w:val="005E683A"/>
    <w:rsid w:val="005E6EDE"/>
    <w:rsid w:val="005E6F9E"/>
    <w:rsid w:val="005E6FCC"/>
    <w:rsid w:val="005F02EC"/>
    <w:rsid w:val="005F17A9"/>
    <w:rsid w:val="005F2A2B"/>
    <w:rsid w:val="005F36EB"/>
    <w:rsid w:val="005F3AF6"/>
    <w:rsid w:val="005F40D5"/>
    <w:rsid w:val="005F45EA"/>
    <w:rsid w:val="005F4A5B"/>
    <w:rsid w:val="005F5DEB"/>
    <w:rsid w:val="005F5E99"/>
    <w:rsid w:val="005F76A4"/>
    <w:rsid w:val="005F7FAC"/>
    <w:rsid w:val="006000F5"/>
    <w:rsid w:val="00601519"/>
    <w:rsid w:val="006019B8"/>
    <w:rsid w:val="006036E3"/>
    <w:rsid w:val="00603D9E"/>
    <w:rsid w:val="00604218"/>
    <w:rsid w:val="006043D5"/>
    <w:rsid w:val="00604ADE"/>
    <w:rsid w:val="00604DDC"/>
    <w:rsid w:val="006054CE"/>
    <w:rsid w:val="006061FB"/>
    <w:rsid w:val="006079DF"/>
    <w:rsid w:val="00610760"/>
    <w:rsid w:val="00610EE8"/>
    <w:rsid w:val="0061128A"/>
    <w:rsid w:val="006121B4"/>
    <w:rsid w:val="006122C1"/>
    <w:rsid w:val="00613A3E"/>
    <w:rsid w:val="00614803"/>
    <w:rsid w:val="00615812"/>
    <w:rsid w:val="006158C0"/>
    <w:rsid w:val="006172F0"/>
    <w:rsid w:val="006177C4"/>
    <w:rsid w:val="006221BF"/>
    <w:rsid w:val="00622B1A"/>
    <w:rsid w:val="00623C79"/>
    <w:rsid w:val="00625EE4"/>
    <w:rsid w:val="00626302"/>
    <w:rsid w:val="0062643A"/>
    <w:rsid w:val="006265E7"/>
    <w:rsid w:val="0062683F"/>
    <w:rsid w:val="00632A36"/>
    <w:rsid w:val="00633539"/>
    <w:rsid w:val="0063367A"/>
    <w:rsid w:val="00633729"/>
    <w:rsid w:val="00634AE5"/>
    <w:rsid w:val="00634DE6"/>
    <w:rsid w:val="00634E02"/>
    <w:rsid w:val="00636B2B"/>
    <w:rsid w:val="00640474"/>
    <w:rsid w:val="00642620"/>
    <w:rsid w:val="00643DE4"/>
    <w:rsid w:val="00645E46"/>
    <w:rsid w:val="0064615A"/>
    <w:rsid w:val="00646315"/>
    <w:rsid w:val="0065112A"/>
    <w:rsid w:val="00651311"/>
    <w:rsid w:val="00651EA5"/>
    <w:rsid w:val="00652232"/>
    <w:rsid w:val="006523D4"/>
    <w:rsid w:val="006542D1"/>
    <w:rsid w:val="00654360"/>
    <w:rsid w:val="00654395"/>
    <w:rsid w:val="0065546A"/>
    <w:rsid w:val="00660AC1"/>
    <w:rsid w:val="00661221"/>
    <w:rsid w:val="00664348"/>
    <w:rsid w:val="006650E6"/>
    <w:rsid w:val="00667777"/>
    <w:rsid w:val="00672787"/>
    <w:rsid w:val="00672D4C"/>
    <w:rsid w:val="006743EC"/>
    <w:rsid w:val="006804CB"/>
    <w:rsid w:val="00680F4A"/>
    <w:rsid w:val="006847E1"/>
    <w:rsid w:val="00687C2A"/>
    <w:rsid w:val="00690C86"/>
    <w:rsid w:val="006940FA"/>
    <w:rsid w:val="00694A6A"/>
    <w:rsid w:val="00694C7C"/>
    <w:rsid w:val="0069634B"/>
    <w:rsid w:val="006A26DA"/>
    <w:rsid w:val="006A38FA"/>
    <w:rsid w:val="006A4DF2"/>
    <w:rsid w:val="006A5406"/>
    <w:rsid w:val="006A79DF"/>
    <w:rsid w:val="006B04DD"/>
    <w:rsid w:val="006B10E1"/>
    <w:rsid w:val="006B3560"/>
    <w:rsid w:val="006B397A"/>
    <w:rsid w:val="006B5DF9"/>
    <w:rsid w:val="006B6B63"/>
    <w:rsid w:val="006B71BD"/>
    <w:rsid w:val="006B71DF"/>
    <w:rsid w:val="006B7CEA"/>
    <w:rsid w:val="006C0253"/>
    <w:rsid w:val="006C0D3C"/>
    <w:rsid w:val="006C36A4"/>
    <w:rsid w:val="006C5552"/>
    <w:rsid w:val="006C6323"/>
    <w:rsid w:val="006D06F8"/>
    <w:rsid w:val="006D133C"/>
    <w:rsid w:val="006D26D1"/>
    <w:rsid w:val="006D394E"/>
    <w:rsid w:val="006D3FC5"/>
    <w:rsid w:val="006D468A"/>
    <w:rsid w:val="006D55B4"/>
    <w:rsid w:val="006D6670"/>
    <w:rsid w:val="006D686D"/>
    <w:rsid w:val="006E0470"/>
    <w:rsid w:val="006E1738"/>
    <w:rsid w:val="006E1DB6"/>
    <w:rsid w:val="006E2202"/>
    <w:rsid w:val="006E3257"/>
    <w:rsid w:val="006E6492"/>
    <w:rsid w:val="006E6B0E"/>
    <w:rsid w:val="006E6B9B"/>
    <w:rsid w:val="006F0951"/>
    <w:rsid w:val="006F14C8"/>
    <w:rsid w:val="006F1C39"/>
    <w:rsid w:val="006F32C8"/>
    <w:rsid w:val="006F4ACB"/>
    <w:rsid w:val="006F4FC6"/>
    <w:rsid w:val="006F5ED4"/>
    <w:rsid w:val="006F6440"/>
    <w:rsid w:val="006F72CE"/>
    <w:rsid w:val="006F74CC"/>
    <w:rsid w:val="006F75FE"/>
    <w:rsid w:val="006F7E60"/>
    <w:rsid w:val="00700124"/>
    <w:rsid w:val="0070168B"/>
    <w:rsid w:val="00702237"/>
    <w:rsid w:val="007042DE"/>
    <w:rsid w:val="007052F0"/>
    <w:rsid w:val="0070575E"/>
    <w:rsid w:val="007063C7"/>
    <w:rsid w:val="00706482"/>
    <w:rsid w:val="007064B4"/>
    <w:rsid w:val="00710536"/>
    <w:rsid w:val="007107E2"/>
    <w:rsid w:val="00711E15"/>
    <w:rsid w:val="00711F0E"/>
    <w:rsid w:val="00712440"/>
    <w:rsid w:val="0071575A"/>
    <w:rsid w:val="00715B57"/>
    <w:rsid w:val="00720C2B"/>
    <w:rsid w:val="00722CF8"/>
    <w:rsid w:val="00725257"/>
    <w:rsid w:val="007255F8"/>
    <w:rsid w:val="007304EE"/>
    <w:rsid w:val="007317E3"/>
    <w:rsid w:val="00733178"/>
    <w:rsid w:val="007348B3"/>
    <w:rsid w:val="00734E42"/>
    <w:rsid w:val="00737E9A"/>
    <w:rsid w:val="007406E6"/>
    <w:rsid w:val="00740F50"/>
    <w:rsid w:val="007451BA"/>
    <w:rsid w:val="0074540A"/>
    <w:rsid w:val="00745E3A"/>
    <w:rsid w:val="007464BB"/>
    <w:rsid w:val="00746F30"/>
    <w:rsid w:val="007470A5"/>
    <w:rsid w:val="007470DF"/>
    <w:rsid w:val="0075062B"/>
    <w:rsid w:val="00752A61"/>
    <w:rsid w:val="00752CFD"/>
    <w:rsid w:val="0075352B"/>
    <w:rsid w:val="007536A2"/>
    <w:rsid w:val="00754589"/>
    <w:rsid w:val="00755B53"/>
    <w:rsid w:val="007569FC"/>
    <w:rsid w:val="00757E96"/>
    <w:rsid w:val="00762AA1"/>
    <w:rsid w:val="00763217"/>
    <w:rsid w:val="00763560"/>
    <w:rsid w:val="00764053"/>
    <w:rsid w:val="00765A7D"/>
    <w:rsid w:val="00765DA6"/>
    <w:rsid w:val="007667B9"/>
    <w:rsid w:val="00767B11"/>
    <w:rsid w:val="007701E0"/>
    <w:rsid w:val="0077039C"/>
    <w:rsid w:val="00772A83"/>
    <w:rsid w:val="00773905"/>
    <w:rsid w:val="00774511"/>
    <w:rsid w:val="00774839"/>
    <w:rsid w:val="00777A0F"/>
    <w:rsid w:val="007811CB"/>
    <w:rsid w:val="00782505"/>
    <w:rsid w:val="007828CF"/>
    <w:rsid w:val="00783449"/>
    <w:rsid w:val="00784A8B"/>
    <w:rsid w:val="00784CBD"/>
    <w:rsid w:val="00786E0E"/>
    <w:rsid w:val="007870C1"/>
    <w:rsid w:val="0078713D"/>
    <w:rsid w:val="007871CF"/>
    <w:rsid w:val="00790962"/>
    <w:rsid w:val="00790BB0"/>
    <w:rsid w:val="00791C76"/>
    <w:rsid w:val="00792956"/>
    <w:rsid w:val="007933FB"/>
    <w:rsid w:val="00793F25"/>
    <w:rsid w:val="00795D35"/>
    <w:rsid w:val="007964E1"/>
    <w:rsid w:val="007A184A"/>
    <w:rsid w:val="007A2372"/>
    <w:rsid w:val="007A24AB"/>
    <w:rsid w:val="007B00AE"/>
    <w:rsid w:val="007B040C"/>
    <w:rsid w:val="007B0F57"/>
    <w:rsid w:val="007B136B"/>
    <w:rsid w:val="007B14B8"/>
    <w:rsid w:val="007B1AD8"/>
    <w:rsid w:val="007B214A"/>
    <w:rsid w:val="007B28C6"/>
    <w:rsid w:val="007B2D5E"/>
    <w:rsid w:val="007B2F2E"/>
    <w:rsid w:val="007B448F"/>
    <w:rsid w:val="007B479E"/>
    <w:rsid w:val="007B4A29"/>
    <w:rsid w:val="007B4E2A"/>
    <w:rsid w:val="007B5CD3"/>
    <w:rsid w:val="007B62A1"/>
    <w:rsid w:val="007B6669"/>
    <w:rsid w:val="007B7E18"/>
    <w:rsid w:val="007C0473"/>
    <w:rsid w:val="007C04D9"/>
    <w:rsid w:val="007C12BD"/>
    <w:rsid w:val="007C162F"/>
    <w:rsid w:val="007C4958"/>
    <w:rsid w:val="007C62E4"/>
    <w:rsid w:val="007D098F"/>
    <w:rsid w:val="007D222E"/>
    <w:rsid w:val="007D23A1"/>
    <w:rsid w:val="007D272D"/>
    <w:rsid w:val="007D3C4D"/>
    <w:rsid w:val="007D4708"/>
    <w:rsid w:val="007D49E0"/>
    <w:rsid w:val="007D4C57"/>
    <w:rsid w:val="007D63CB"/>
    <w:rsid w:val="007E2FA2"/>
    <w:rsid w:val="007E34B6"/>
    <w:rsid w:val="007E359B"/>
    <w:rsid w:val="007E45EF"/>
    <w:rsid w:val="007E5403"/>
    <w:rsid w:val="007E548C"/>
    <w:rsid w:val="007E5AD5"/>
    <w:rsid w:val="007E5F46"/>
    <w:rsid w:val="007E6EE4"/>
    <w:rsid w:val="007E7C2E"/>
    <w:rsid w:val="007E7D39"/>
    <w:rsid w:val="007F0BE3"/>
    <w:rsid w:val="007F4141"/>
    <w:rsid w:val="007F48FF"/>
    <w:rsid w:val="007F5461"/>
    <w:rsid w:val="007F54C9"/>
    <w:rsid w:val="007F6DE0"/>
    <w:rsid w:val="007F6E84"/>
    <w:rsid w:val="00800B24"/>
    <w:rsid w:val="00801A61"/>
    <w:rsid w:val="0080201F"/>
    <w:rsid w:val="0080275B"/>
    <w:rsid w:val="0080286D"/>
    <w:rsid w:val="008043F3"/>
    <w:rsid w:val="0080506B"/>
    <w:rsid w:val="00805E3D"/>
    <w:rsid w:val="0080790F"/>
    <w:rsid w:val="0081014D"/>
    <w:rsid w:val="00810152"/>
    <w:rsid w:val="00810694"/>
    <w:rsid w:val="0081377B"/>
    <w:rsid w:val="008138CF"/>
    <w:rsid w:val="00815892"/>
    <w:rsid w:val="00816640"/>
    <w:rsid w:val="0081737A"/>
    <w:rsid w:val="00821035"/>
    <w:rsid w:val="00821EB9"/>
    <w:rsid w:val="00824E2E"/>
    <w:rsid w:val="00826FFB"/>
    <w:rsid w:val="008275DD"/>
    <w:rsid w:val="0083039C"/>
    <w:rsid w:val="00830728"/>
    <w:rsid w:val="00833345"/>
    <w:rsid w:val="00833EF4"/>
    <w:rsid w:val="00834CE8"/>
    <w:rsid w:val="00837508"/>
    <w:rsid w:val="00837571"/>
    <w:rsid w:val="00840E84"/>
    <w:rsid w:val="00841BE9"/>
    <w:rsid w:val="00841C61"/>
    <w:rsid w:val="008424AF"/>
    <w:rsid w:val="00842972"/>
    <w:rsid w:val="008431B7"/>
    <w:rsid w:val="00843355"/>
    <w:rsid w:val="00843A04"/>
    <w:rsid w:val="0084412E"/>
    <w:rsid w:val="0084766C"/>
    <w:rsid w:val="00847A06"/>
    <w:rsid w:val="00850617"/>
    <w:rsid w:val="00850960"/>
    <w:rsid w:val="008511C0"/>
    <w:rsid w:val="00851B1F"/>
    <w:rsid w:val="0085278E"/>
    <w:rsid w:val="008553A4"/>
    <w:rsid w:val="00855A69"/>
    <w:rsid w:val="0086133C"/>
    <w:rsid w:val="00861635"/>
    <w:rsid w:val="008625E4"/>
    <w:rsid w:val="00864931"/>
    <w:rsid w:val="00864F7B"/>
    <w:rsid w:val="008662C5"/>
    <w:rsid w:val="008663FB"/>
    <w:rsid w:val="0086648A"/>
    <w:rsid w:val="00866AE4"/>
    <w:rsid w:val="00870051"/>
    <w:rsid w:val="00870AB5"/>
    <w:rsid w:val="00870B0E"/>
    <w:rsid w:val="00871AC1"/>
    <w:rsid w:val="008725D4"/>
    <w:rsid w:val="0087421A"/>
    <w:rsid w:val="0087494B"/>
    <w:rsid w:val="00876524"/>
    <w:rsid w:val="00876CBB"/>
    <w:rsid w:val="00876ED1"/>
    <w:rsid w:val="00880367"/>
    <w:rsid w:val="008804B7"/>
    <w:rsid w:val="008815A9"/>
    <w:rsid w:val="008816D4"/>
    <w:rsid w:val="0088204C"/>
    <w:rsid w:val="00882174"/>
    <w:rsid w:val="00883668"/>
    <w:rsid w:val="00883F15"/>
    <w:rsid w:val="008841C6"/>
    <w:rsid w:val="0088550A"/>
    <w:rsid w:val="0089080F"/>
    <w:rsid w:val="0089243A"/>
    <w:rsid w:val="00892B67"/>
    <w:rsid w:val="00892DBC"/>
    <w:rsid w:val="0089463F"/>
    <w:rsid w:val="008964B2"/>
    <w:rsid w:val="008A0AFA"/>
    <w:rsid w:val="008A10F4"/>
    <w:rsid w:val="008A2946"/>
    <w:rsid w:val="008A2B3F"/>
    <w:rsid w:val="008A3366"/>
    <w:rsid w:val="008A399C"/>
    <w:rsid w:val="008A3D4F"/>
    <w:rsid w:val="008A5F06"/>
    <w:rsid w:val="008B0021"/>
    <w:rsid w:val="008B2197"/>
    <w:rsid w:val="008B2B83"/>
    <w:rsid w:val="008B35CF"/>
    <w:rsid w:val="008B4E8E"/>
    <w:rsid w:val="008B55AE"/>
    <w:rsid w:val="008B77D1"/>
    <w:rsid w:val="008B7988"/>
    <w:rsid w:val="008C1424"/>
    <w:rsid w:val="008C14A3"/>
    <w:rsid w:val="008C250A"/>
    <w:rsid w:val="008C2565"/>
    <w:rsid w:val="008C2896"/>
    <w:rsid w:val="008C2943"/>
    <w:rsid w:val="008C434F"/>
    <w:rsid w:val="008C62D5"/>
    <w:rsid w:val="008D44A8"/>
    <w:rsid w:val="008D4E0B"/>
    <w:rsid w:val="008E0000"/>
    <w:rsid w:val="008E064C"/>
    <w:rsid w:val="008E3480"/>
    <w:rsid w:val="008E35F7"/>
    <w:rsid w:val="008E471F"/>
    <w:rsid w:val="008E4AF6"/>
    <w:rsid w:val="008E54DE"/>
    <w:rsid w:val="008E6A87"/>
    <w:rsid w:val="008F0962"/>
    <w:rsid w:val="008F273F"/>
    <w:rsid w:val="008F45AD"/>
    <w:rsid w:val="008F4C86"/>
    <w:rsid w:val="008F622E"/>
    <w:rsid w:val="008F645D"/>
    <w:rsid w:val="008F75F0"/>
    <w:rsid w:val="008F7DEC"/>
    <w:rsid w:val="009001FA"/>
    <w:rsid w:val="00900990"/>
    <w:rsid w:val="00900E2F"/>
    <w:rsid w:val="009108F7"/>
    <w:rsid w:val="00911709"/>
    <w:rsid w:val="009132C1"/>
    <w:rsid w:val="0091345C"/>
    <w:rsid w:val="009136FE"/>
    <w:rsid w:val="00913EE6"/>
    <w:rsid w:val="00914992"/>
    <w:rsid w:val="009168CA"/>
    <w:rsid w:val="00920009"/>
    <w:rsid w:val="009211C2"/>
    <w:rsid w:val="009249F8"/>
    <w:rsid w:val="00925A8F"/>
    <w:rsid w:val="0092658C"/>
    <w:rsid w:val="00926DEF"/>
    <w:rsid w:val="0093270E"/>
    <w:rsid w:val="009329B2"/>
    <w:rsid w:val="009345C3"/>
    <w:rsid w:val="00937C73"/>
    <w:rsid w:val="009414CF"/>
    <w:rsid w:val="009417DA"/>
    <w:rsid w:val="009428F7"/>
    <w:rsid w:val="00942CF0"/>
    <w:rsid w:val="0094393D"/>
    <w:rsid w:val="00943944"/>
    <w:rsid w:val="00944D1A"/>
    <w:rsid w:val="0094514F"/>
    <w:rsid w:val="00945BB7"/>
    <w:rsid w:val="00946452"/>
    <w:rsid w:val="009465F8"/>
    <w:rsid w:val="00946EF4"/>
    <w:rsid w:val="009538BE"/>
    <w:rsid w:val="00955E32"/>
    <w:rsid w:val="009567C1"/>
    <w:rsid w:val="0095735E"/>
    <w:rsid w:val="009578CE"/>
    <w:rsid w:val="00957E7D"/>
    <w:rsid w:val="00957FF1"/>
    <w:rsid w:val="009604A4"/>
    <w:rsid w:val="009609A4"/>
    <w:rsid w:val="0096635A"/>
    <w:rsid w:val="0097052B"/>
    <w:rsid w:val="00972280"/>
    <w:rsid w:val="009735E7"/>
    <w:rsid w:val="00973E8D"/>
    <w:rsid w:val="00974451"/>
    <w:rsid w:val="0097464E"/>
    <w:rsid w:val="009752B2"/>
    <w:rsid w:val="00975432"/>
    <w:rsid w:val="009761C7"/>
    <w:rsid w:val="00976A73"/>
    <w:rsid w:val="00977D73"/>
    <w:rsid w:val="00981FD6"/>
    <w:rsid w:val="00983E9C"/>
    <w:rsid w:val="00985A67"/>
    <w:rsid w:val="00991052"/>
    <w:rsid w:val="0099148A"/>
    <w:rsid w:val="00992C83"/>
    <w:rsid w:val="00993BE6"/>
    <w:rsid w:val="00995528"/>
    <w:rsid w:val="00995A74"/>
    <w:rsid w:val="00996879"/>
    <w:rsid w:val="009969C8"/>
    <w:rsid w:val="009A1DA1"/>
    <w:rsid w:val="009A328D"/>
    <w:rsid w:val="009A582F"/>
    <w:rsid w:val="009A6415"/>
    <w:rsid w:val="009A748A"/>
    <w:rsid w:val="009B0784"/>
    <w:rsid w:val="009B088B"/>
    <w:rsid w:val="009B0A97"/>
    <w:rsid w:val="009B132C"/>
    <w:rsid w:val="009B19B9"/>
    <w:rsid w:val="009B1CF0"/>
    <w:rsid w:val="009B1CFA"/>
    <w:rsid w:val="009B2676"/>
    <w:rsid w:val="009B2E4E"/>
    <w:rsid w:val="009B2EA0"/>
    <w:rsid w:val="009B4CF2"/>
    <w:rsid w:val="009B4D4F"/>
    <w:rsid w:val="009B60AF"/>
    <w:rsid w:val="009B6967"/>
    <w:rsid w:val="009B72B9"/>
    <w:rsid w:val="009C042F"/>
    <w:rsid w:val="009C1C93"/>
    <w:rsid w:val="009C2838"/>
    <w:rsid w:val="009C3554"/>
    <w:rsid w:val="009C4507"/>
    <w:rsid w:val="009C5D39"/>
    <w:rsid w:val="009C61E5"/>
    <w:rsid w:val="009C73A3"/>
    <w:rsid w:val="009C7B06"/>
    <w:rsid w:val="009D0EAB"/>
    <w:rsid w:val="009D210E"/>
    <w:rsid w:val="009D427D"/>
    <w:rsid w:val="009D4713"/>
    <w:rsid w:val="009D63C0"/>
    <w:rsid w:val="009E0437"/>
    <w:rsid w:val="009E0F85"/>
    <w:rsid w:val="009E20D0"/>
    <w:rsid w:val="009E2658"/>
    <w:rsid w:val="009E402B"/>
    <w:rsid w:val="009E5AB8"/>
    <w:rsid w:val="009E5EE8"/>
    <w:rsid w:val="009E663B"/>
    <w:rsid w:val="009E6A3E"/>
    <w:rsid w:val="009E6CC6"/>
    <w:rsid w:val="009F0A32"/>
    <w:rsid w:val="009F1595"/>
    <w:rsid w:val="009F33C6"/>
    <w:rsid w:val="009F399E"/>
    <w:rsid w:val="009F3E03"/>
    <w:rsid w:val="009F3F43"/>
    <w:rsid w:val="009F5263"/>
    <w:rsid w:val="009F6D6E"/>
    <w:rsid w:val="009F7190"/>
    <w:rsid w:val="009F7535"/>
    <w:rsid w:val="00A00667"/>
    <w:rsid w:val="00A0173F"/>
    <w:rsid w:val="00A01D7A"/>
    <w:rsid w:val="00A0205C"/>
    <w:rsid w:val="00A02063"/>
    <w:rsid w:val="00A02D01"/>
    <w:rsid w:val="00A04AFB"/>
    <w:rsid w:val="00A04B22"/>
    <w:rsid w:val="00A04D54"/>
    <w:rsid w:val="00A06B9A"/>
    <w:rsid w:val="00A0747B"/>
    <w:rsid w:val="00A108F5"/>
    <w:rsid w:val="00A109FD"/>
    <w:rsid w:val="00A12E03"/>
    <w:rsid w:val="00A132D6"/>
    <w:rsid w:val="00A14A23"/>
    <w:rsid w:val="00A14D63"/>
    <w:rsid w:val="00A15F24"/>
    <w:rsid w:val="00A15FCF"/>
    <w:rsid w:val="00A16C5B"/>
    <w:rsid w:val="00A17EC0"/>
    <w:rsid w:val="00A2020D"/>
    <w:rsid w:val="00A212A4"/>
    <w:rsid w:val="00A22405"/>
    <w:rsid w:val="00A23309"/>
    <w:rsid w:val="00A23EDA"/>
    <w:rsid w:val="00A24CB6"/>
    <w:rsid w:val="00A24CBC"/>
    <w:rsid w:val="00A2590F"/>
    <w:rsid w:val="00A27263"/>
    <w:rsid w:val="00A27FE4"/>
    <w:rsid w:val="00A31A64"/>
    <w:rsid w:val="00A3569A"/>
    <w:rsid w:val="00A36B68"/>
    <w:rsid w:val="00A37892"/>
    <w:rsid w:val="00A37F06"/>
    <w:rsid w:val="00A401CF"/>
    <w:rsid w:val="00A412E2"/>
    <w:rsid w:val="00A438EE"/>
    <w:rsid w:val="00A44AB0"/>
    <w:rsid w:val="00A458A4"/>
    <w:rsid w:val="00A45D10"/>
    <w:rsid w:val="00A4671F"/>
    <w:rsid w:val="00A46C81"/>
    <w:rsid w:val="00A51734"/>
    <w:rsid w:val="00A52D0E"/>
    <w:rsid w:val="00A52F00"/>
    <w:rsid w:val="00A545F3"/>
    <w:rsid w:val="00A54C9F"/>
    <w:rsid w:val="00A61306"/>
    <w:rsid w:val="00A6348E"/>
    <w:rsid w:val="00A63A11"/>
    <w:rsid w:val="00A663A9"/>
    <w:rsid w:val="00A672EB"/>
    <w:rsid w:val="00A67B09"/>
    <w:rsid w:val="00A67B96"/>
    <w:rsid w:val="00A70BB3"/>
    <w:rsid w:val="00A719DA"/>
    <w:rsid w:val="00A71C52"/>
    <w:rsid w:val="00A72338"/>
    <w:rsid w:val="00A72C04"/>
    <w:rsid w:val="00A73FCC"/>
    <w:rsid w:val="00A7628D"/>
    <w:rsid w:val="00A7656B"/>
    <w:rsid w:val="00A77D0B"/>
    <w:rsid w:val="00A805E9"/>
    <w:rsid w:val="00A81E4B"/>
    <w:rsid w:val="00A8298F"/>
    <w:rsid w:val="00A83600"/>
    <w:rsid w:val="00A83637"/>
    <w:rsid w:val="00A83EF8"/>
    <w:rsid w:val="00A862BF"/>
    <w:rsid w:val="00A86BC3"/>
    <w:rsid w:val="00A86F02"/>
    <w:rsid w:val="00A8705E"/>
    <w:rsid w:val="00A87FF0"/>
    <w:rsid w:val="00A932BB"/>
    <w:rsid w:val="00A95CC5"/>
    <w:rsid w:val="00A95E8B"/>
    <w:rsid w:val="00A965C2"/>
    <w:rsid w:val="00A96F0F"/>
    <w:rsid w:val="00A97119"/>
    <w:rsid w:val="00AA061A"/>
    <w:rsid w:val="00AA0674"/>
    <w:rsid w:val="00AA38CB"/>
    <w:rsid w:val="00AA3BAC"/>
    <w:rsid w:val="00AA4394"/>
    <w:rsid w:val="00AA4B14"/>
    <w:rsid w:val="00AA662C"/>
    <w:rsid w:val="00AA712E"/>
    <w:rsid w:val="00AB1F14"/>
    <w:rsid w:val="00AB2D7B"/>
    <w:rsid w:val="00AB39AF"/>
    <w:rsid w:val="00AB59AC"/>
    <w:rsid w:val="00AB68E5"/>
    <w:rsid w:val="00AB6DA1"/>
    <w:rsid w:val="00AC01C8"/>
    <w:rsid w:val="00AC2080"/>
    <w:rsid w:val="00AC53FB"/>
    <w:rsid w:val="00AC6788"/>
    <w:rsid w:val="00AC7F41"/>
    <w:rsid w:val="00AD0917"/>
    <w:rsid w:val="00AD3E9C"/>
    <w:rsid w:val="00AD44AA"/>
    <w:rsid w:val="00AD5D74"/>
    <w:rsid w:val="00AD68AA"/>
    <w:rsid w:val="00AD7A75"/>
    <w:rsid w:val="00AD7D47"/>
    <w:rsid w:val="00AE08B8"/>
    <w:rsid w:val="00AE0CB0"/>
    <w:rsid w:val="00AE1445"/>
    <w:rsid w:val="00AE16EE"/>
    <w:rsid w:val="00AE2DD6"/>
    <w:rsid w:val="00AE5801"/>
    <w:rsid w:val="00AE6645"/>
    <w:rsid w:val="00AE7E85"/>
    <w:rsid w:val="00AF0543"/>
    <w:rsid w:val="00AF07C2"/>
    <w:rsid w:val="00AF190D"/>
    <w:rsid w:val="00AF2A99"/>
    <w:rsid w:val="00B0081D"/>
    <w:rsid w:val="00B00D40"/>
    <w:rsid w:val="00B01637"/>
    <w:rsid w:val="00B022AE"/>
    <w:rsid w:val="00B05906"/>
    <w:rsid w:val="00B10509"/>
    <w:rsid w:val="00B10ECC"/>
    <w:rsid w:val="00B12A03"/>
    <w:rsid w:val="00B12F0C"/>
    <w:rsid w:val="00B1321C"/>
    <w:rsid w:val="00B146A5"/>
    <w:rsid w:val="00B14A1C"/>
    <w:rsid w:val="00B14BE8"/>
    <w:rsid w:val="00B161B8"/>
    <w:rsid w:val="00B175F1"/>
    <w:rsid w:val="00B20330"/>
    <w:rsid w:val="00B21F1A"/>
    <w:rsid w:val="00B227AD"/>
    <w:rsid w:val="00B227D7"/>
    <w:rsid w:val="00B22FD1"/>
    <w:rsid w:val="00B241FD"/>
    <w:rsid w:val="00B244C9"/>
    <w:rsid w:val="00B248C6"/>
    <w:rsid w:val="00B2617F"/>
    <w:rsid w:val="00B26DF7"/>
    <w:rsid w:val="00B27F6A"/>
    <w:rsid w:val="00B30E28"/>
    <w:rsid w:val="00B31D49"/>
    <w:rsid w:val="00B32DBA"/>
    <w:rsid w:val="00B355A7"/>
    <w:rsid w:val="00B36226"/>
    <w:rsid w:val="00B364AE"/>
    <w:rsid w:val="00B3753E"/>
    <w:rsid w:val="00B401BF"/>
    <w:rsid w:val="00B42189"/>
    <w:rsid w:val="00B44A61"/>
    <w:rsid w:val="00B45283"/>
    <w:rsid w:val="00B45EA3"/>
    <w:rsid w:val="00B45EB2"/>
    <w:rsid w:val="00B45F45"/>
    <w:rsid w:val="00B4610C"/>
    <w:rsid w:val="00B46DDF"/>
    <w:rsid w:val="00B50412"/>
    <w:rsid w:val="00B50B89"/>
    <w:rsid w:val="00B515D8"/>
    <w:rsid w:val="00B51848"/>
    <w:rsid w:val="00B51FE2"/>
    <w:rsid w:val="00B54373"/>
    <w:rsid w:val="00B56104"/>
    <w:rsid w:val="00B561A8"/>
    <w:rsid w:val="00B571F1"/>
    <w:rsid w:val="00B60A6F"/>
    <w:rsid w:val="00B60CD8"/>
    <w:rsid w:val="00B62002"/>
    <w:rsid w:val="00B62B84"/>
    <w:rsid w:val="00B631CC"/>
    <w:rsid w:val="00B63800"/>
    <w:rsid w:val="00B64A3E"/>
    <w:rsid w:val="00B64CA4"/>
    <w:rsid w:val="00B65057"/>
    <w:rsid w:val="00B65669"/>
    <w:rsid w:val="00B65E83"/>
    <w:rsid w:val="00B65ED8"/>
    <w:rsid w:val="00B678D5"/>
    <w:rsid w:val="00B71A63"/>
    <w:rsid w:val="00B7246D"/>
    <w:rsid w:val="00B72BFC"/>
    <w:rsid w:val="00B72D7B"/>
    <w:rsid w:val="00B749F7"/>
    <w:rsid w:val="00B75626"/>
    <w:rsid w:val="00B75C8D"/>
    <w:rsid w:val="00B77A8E"/>
    <w:rsid w:val="00B81EA7"/>
    <w:rsid w:val="00B82252"/>
    <w:rsid w:val="00B82995"/>
    <w:rsid w:val="00B83554"/>
    <w:rsid w:val="00B844FC"/>
    <w:rsid w:val="00B8543C"/>
    <w:rsid w:val="00B86438"/>
    <w:rsid w:val="00B87B5F"/>
    <w:rsid w:val="00B90E23"/>
    <w:rsid w:val="00B90E45"/>
    <w:rsid w:val="00B9138A"/>
    <w:rsid w:val="00B91AE5"/>
    <w:rsid w:val="00B95EFA"/>
    <w:rsid w:val="00B96598"/>
    <w:rsid w:val="00B96AD8"/>
    <w:rsid w:val="00B97363"/>
    <w:rsid w:val="00BA103B"/>
    <w:rsid w:val="00BA25E2"/>
    <w:rsid w:val="00BA2871"/>
    <w:rsid w:val="00BA3D4F"/>
    <w:rsid w:val="00BA3D60"/>
    <w:rsid w:val="00BA41CF"/>
    <w:rsid w:val="00BA4A7D"/>
    <w:rsid w:val="00BA4E8F"/>
    <w:rsid w:val="00BA53BB"/>
    <w:rsid w:val="00BA665A"/>
    <w:rsid w:val="00BA67ED"/>
    <w:rsid w:val="00BA6CB2"/>
    <w:rsid w:val="00BA6CF8"/>
    <w:rsid w:val="00BB0CD5"/>
    <w:rsid w:val="00BB3C29"/>
    <w:rsid w:val="00BB3FA6"/>
    <w:rsid w:val="00BB52FD"/>
    <w:rsid w:val="00BB5F21"/>
    <w:rsid w:val="00BB60E5"/>
    <w:rsid w:val="00BB7A7F"/>
    <w:rsid w:val="00BC1356"/>
    <w:rsid w:val="00BC1EB0"/>
    <w:rsid w:val="00BC3DE6"/>
    <w:rsid w:val="00BC41BB"/>
    <w:rsid w:val="00BC5E13"/>
    <w:rsid w:val="00BC6F31"/>
    <w:rsid w:val="00BD0AD3"/>
    <w:rsid w:val="00BD0EBF"/>
    <w:rsid w:val="00BD1723"/>
    <w:rsid w:val="00BD2485"/>
    <w:rsid w:val="00BD26B6"/>
    <w:rsid w:val="00BD3585"/>
    <w:rsid w:val="00BD3907"/>
    <w:rsid w:val="00BD4C21"/>
    <w:rsid w:val="00BD5684"/>
    <w:rsid w:val="00BD62FD"/>
    <w:rsid w:val="00BD7EF2"/>
    <w:rsid w:val="00BE1C0D"/>
    <w:rsid w:val="00BE2FC6"/>
    <w:rsid w:val="00BE3494"/>
    <w:rsid w:val="00BE7089"/>
    <w:rsid w:val="00BE7319"/>
    <w:rsid w:val="00BE74C1"/>
    <w:rsid w:val="00BE7BE1"/>
    <w:rsid w:val="00BF0AD9"/>
    <w:rsid w:val="00BF0E61"/>
    <w:rsid w:val="00BF0F90"/>
    <w:rsid w:val="00BF16B5"/>
    <w:rsid w:val="00BF18E6"/>
    <w:rsid w:val="00BF1E5F"/>
    <w:rsid w:val="00BF2F86"/>
    <w:rsid w:val="00BF4429"/>
    <w:rsid w:val="00BF511A"/>
    <w:rsid w:val="00BF6762"/>
    <w:rsid w:val="00BF79F0"/>
    <w:rsid w:val="00C001F1"/>
    <w:rsid w:val="00C002BB"/>
    <w:rsid w:val="00C0153D"/>
    <w:rsid w:val="00C040AD"/>
    <w:rsid w:val="00C047A3"/>
    <w:rsid w:val="00C04C07"/>
    <w:rsid w:val="00C0619F"/>
    <w:rsid w:val="00C0769D"/>
    <w:rsid w:val="00C10887"/>
    <w:rsid w:val="00C10C53"/>
    <w:rsid w:val="00C11A09"/>
    <w:rsid w:val="00C127C0"/>
    <w:rsid w:val="00C13422"/>
    <w:rsid w:val="00C13D33"/>
    <w:rsid w:val="00C13E72"/>
    <w:rsid w:val="00C149BD"/>
    <w:rsid w:val="00C16184"/>
    <w:rsid w:val="00C20B05"/>
    <w:rsid w:val="00C20FF5"/>
    <w:rsid w:val="00C23AB6"/>
    <w:rsid w:val="00C248F9"/>
    <w:rsid w:val="00C24EBC"/>
    <w:rsid w:val="00C2597E"/>
    <w:rsid w:val="00C25A70"/>
    <w:rsid w:val="00C25C93"/>
    <w:rsid w:val="00C31232"/>
    <w:rsid w:val="00C31411"/>
    <w:rsid w:val="00C32519"/>
    <w:rsid w:val="00C337DB"/>
    <w:rsid w:val="00C35A20"/>
    <w:rsid w:val="00C36B71"/>
    <w:rsid w:val="00C36D75"/>
    <w:rsid w:val="00C37438"/>
    <w:rsid w:val="00C37828"/>
    <w:rsid w:val="00C40E10"/>
    <w:rsid w:val="00C442AE"/>
    <w:rsid w:val="00C4536B"/>
    <w:rsid w:val="00C45F68"/>
    <w:rsid w:val="00C50821"/>
    <w:rsid w:val="00C524C8"/>
    <w:rsid w:val="00C525B0"/>
    <w:rsid w:val="00C541B0"/>
    <w:rsid w:val="00C54F7A"/>
    <w:rsid w:val="00C55606"/>
    <w:rsid w:val="00C55BDF"/>
    <w:rsid w:val="00C55E8C"/>
    <w:rsid w:val="00C571AE"/>
    <w:rsid w:val="00C57202"/>
    <w:rsid w:val="00C57892"/>
    <w:rsid w:val="00C6019C"/>
    <w:rsid w:val="00C620F8"/>
    <w:rsid w:val="00C62F8F"/>
    <w:rsid w:val="00C65FBC"/>
    <w:rsid w:val="00C668DF"/>
    <w:rsid w:val="00C670BE"/>
    <w:rsid w:val="00C70DF9"/>
    <w:rsid w:val="00C72BB7"/>
    <w:rsid w:val="00C758E8"/>
    <w:rsid w:val="00C76732"/>
    <w:rsid w:val="00C8018B"/>
    <w:rsid w:val="00C81431"/>
    <w:rsid w:val="00C821F1"/>
    <w:rsid w:val="00C82303"/>
    <w:rsid w:val="00C8335F"/>
    <w:rsid w:val="00C83B41"/>
    <w:rsid w:val="00C842E0"/>
    <w:rsid w:val="00C84CFC"/>
    <w:rsid w:val="00C8549D"/>
    <w:rsid w:val="00C9023E"/>
    <w:rsid w:val="00C9183C"/>
    <w:rsid w:val="00C928AD"/>
    <w:rsid w:val="00C929C2"/>
    <w:rsid w:val="00C93C4B"/>
    <w:rsid w:val="00C958C8"/>
    <w:rsid w:val="00C95DD7"/>
    <w:rsid w:val="00C9795E"/>
    <w:rsid w:val="00C97EA7"/>
    <w:rsid w:val="00CA084B"/>
    <w:rsid w:val="00CA1994"/>
    <w:rsid w:val="00CA1CC6"/>
    <w:rsid w:val="00CA1E1D"/>
    <w:rsid w:val="00CA459E"/>
    <w:rsid w:val="00CA4BCF"/>
    <w:rsid w:val="00CA4D21"/>
    <w:rsid w:val="00CA4D80"/>
    <w:rsid w:val="00CA55B8"/>
    <w:rsid w:val="00CA68A1"/>
    <w:rsid w:val="00CA6CAA"/>
    <w:rsid w:val="00CA767D"/>
    <w:rsid w:val="00CB433A"/>
    <w:rsid w:val="00CB4B1B"/>
    <w:rsid w:val="00CB60C3"/>
    <w:rsid w:val="00CB6891"/>
    <w:rsid w:val="00CB6DBC"/>
    <w:rsid w:val="00CB7D3D"/>
    <w:rsid w:val="00CB7EC2"/>
    <w:rsid w:val="00CC1B2E"/>
    <w:rsid w:val="00CC2756"/>
    <w:rsid w:val="00CC2851"/>
    <w:rsid w:val="00CC3142"/>
    <w:rsid w:val="00CC3741"/>
    <w:rsid w:val="00CC4129"/>
    <w:rsid w:val="00CC494B"/>
    <w:rsid w:val="00CC5BAC"/>
    <w:rsid w:val="00CC6907"/>
    <w:rsid w:val="00CD00B4"/>
    <w:rsid w:val="00CD147D"/>
    <w:rsid w:val="00CD14AA"/>
    <w:rsid w:val="00CD1FE2"/>
    <w:rsid w:val="00CD23F7"/>
    <w:rsid w:val="00CD33D0"/>
    <w:rsid w:val="00CD50DB"/>
    <w:rsid w:val="00CD581E"/>
    <w:rsid w:val="00CD6830"/>
    <w:rsid w:val="00CD6F26"/>
    <w:rsid w:val="00CD6F2A"/>
    <w:rsid w:val="00CE1698"/>
    <w:rsid w:val="00CE18A3"/>
    <w:rsid w:val="00CF0395"/>
    <w:rsid w:val="00CF1860"/>
    <w:rsid w:val="00CF26E6"/>
    <w:rsid w:val="00CF3E0E"/>
    <w:rsid w:val="00CF3F07"/>
    <w:rsid w:val="00CF5D85"/>
    <w:rsid w:val="00CF5E36"/>
    <w:rsid w:val="00CF6382"/>
    <w:rsid w:val="00CF671B"/>
    <w:rsid w:val="00D00E64"/>
    <w:rsid w:val="00D01021"/>
    <w:rsid w:val="00D01326"/>
    <w:rsid w:val="00D018BC"/>
    <w:rsid w:val="00D02C6F"/>
    <w:rsid w:val="00D03A72"/>
    <w:rsid w:val="00D04029"/>
    <w:rsid w:val="00D0459E"/>
    <w:rsid w:val="00D04666"/>
    <w:rsid w:val="00D05005"/>
    <w:rsid w:val="00D10853"/>
    <w:rsid w:val="00D10B9B"/>
    <w:rsid w:val="00D115BE"/>
    <w:rsid w:val="00D11B6E"/>
    <w:rsid w:val="00D13637"/>
    <w:rsid w:val="00D13CCF"/>
    <w:rsid w:val="00D13FA3"/>
    <w:rsid w:val="00D14381"/>
    <w:rsid w:val="00D1449E"/>
    <w:rsid w:val="00D144C1"/>
    <w:rsid w:val="00D14DD1"/>
    <w:rsid w:val="00D15C5E"/>
    <w:rsid w:val="00D15DA8"/>
    <w:rsid w:val="00D20774"/>
    <w:rsid w:val="00D20C1C"/>
    <w:rsid w:val="00D245D7"/>
    <w:rsid w:val="00D25321"/>
    <w:rsid w:val="00D2610E"/>
    <w:rsid w:val="00D267D9"/>
    <w:rsid w:val="00D2761E"/>
    <w:rsid w:val="00D27F96"/>
    <w:rsid w:val="00D30003"/>
    <w:rsid w:val="00D300E8"/>
    <w:rsid w:val="00D30C83"/>
    <w:rsid w:val="00D31D04"/>
    <w:rsid w:val="00D33198"/>
    <w:rsid w:val="00D33C46"/>
    <w:rsid w:val="00D360B8"/>
    <w:rsid w:val="00D374F1"/>
    <w:rsid w:val="00D37CA1"/>
    <w:rsid w:val="00D40043"/>
    <w:rsid w:val="00D40159"/>
    <w:rsid w:val="00D4078B"/>
    <w:rsid w:val="00D41D87"/>
    <w:rsid w:val="00D427E1"/>
    <w:rsid w:val="00D42928"/>
    <w:rsid w:val="00D436D9"/>
    <w:rsid w:val="00D43F80"/>
    <w:rsid w:val="00D440E4"/>
    <w:rsid w:val="00D44D4C"/>
    <w:rsid w:val="00D46168"/>
    <w:rsid w:val="00D46484"/>
    <w:rsid w:val="00D4783F"/>
    <w:rsid w:val="00D47DFB"/>
    <w:rsid w:val="00D509DE"/>
    <w:rsid w:val="00D50F09"/>
    <w:rsid w:val="00D52A41"/>
    <w:rsid w:val="00D52CD0"/>
    <w:rsid w:val="00D55892"/>
    <w:rsid w:val="00D55BF8"/>
    <w:rsid w:val="00D55F6D"/>
    <w:rsid w:val="00D56DC6"/>
    <w:rsid w:val="00D60408"/>
    <w:rsid w:val="00D61208"/>
    <w:rsid w:val="00D6245B"/>
    <w:rsid w:val="00D62460"/>
    <w:rsid w:val="00D6649B"/>
    <w:rsid w:val="00D6664C"/>
    <w:rsid w:val="00D66907"/>
    <w:rsid w:val="00D70926"/>
    <w:rsid w:val="00D70D7F"/>
    <w:rsid w:val="00D722B3"/>
    <w:rsid w:val="00D72CA1"/>
    <w:rsid w:val="00D7371F"/>
    <w:rsid w:val="00D75027"/>
    <w:rsid w:val="00D7768B"/>
    <w:rsid w:val="00D801A6"/>
    <w:rsid w:val="00D8068E"/>
    <w:rsid w:val="00D81945"/>
    <w:rsid w:val="00D81990"/>
    <w:rsid w:val="00D82401"/>
    <w:rsid w:val="00D831C7"/>
    <w:rsid w:val="00D8360F"/>
    <w:rsid w:val="00D84656"/>
    <w:rsid w:val="00D853D8"/>
    <w:rsid w:val="00D86C30"/>
    <w:rsid w:val="00D86F94"/>
    <w:rsid w:val="00D878B7"/>
    <w:rsid w:val="00D87931"/>
    <w:rsid w:val="00D918DE"/>
    <w:rsid w:val="00D9213E"/>
    <w:rsid w:val="00D921E0"/>
    <w:rsid w:val="00D92653"/>
    <w:rsid w:val="00D9336F"/>
    <w:rsid w:val="00D934B5"/>
    <w:rsid w:val="00D934C5"/>
    <w:rsid w:val="00D93ADF"/>
    <w:rsid w:val="00D94DE4"/>
    <w:rsid w:val="00D952ED"/>
    <w:rsid w:val="00D96A47"/>
    <w:rsid w:val="00D96BE7"/>
    <w:rsid w:val="00DA13C1"/>
    <w:rsid w:val="00DA173B"/>
    <w:rsid w:val="00DA1ADA"/>
    <w:rsid w:val="00DA3E13"/>
    <w:rsid w:val="00DA3F26"/>
    <w:rsid w:val="00DA4887"/>
    <w:rsid w:val="00DA6173"/>
    <w:rsid w:val="00DA6BA4"/>
    <w:rsid w:val="00DA751E"/>
    <w:rsid w:val="00DA75E6"/>
    <w:rsid w:val="00DB0838"/>
    <w:rsid w:val="00DB1681"/>
    <w:rsid w:val="00DB1C57"/>
    <w:rsid w:val="00DB22C6"/>
    <w:rsid w:val="00DB35C9"/>
    <w:rsid w:val="00DB3DA0"/>
    <w:rsid w:val="00DB3DCE"/>
    <w:rsid w:val="00DB41A6"/>
    <w:rsid w:val="00DB45B7"/>
    <w:rsid w:val="00DB49B1"/>
    <w:rsid w:val="00DB4ECD"/>
    <w:rsid w:val="00DB5618"/>
    <w:rsid w:val="00DB56B4"/>
    <w:rsid w:val="00DC067C"/>
    <w:rsid w:val="00DC1B76"/>
    <w:rsid w:val="00DC47DE"/>
    <w:rsid w:val="00DC4C72"/>
    <w:rsid w:val="00DC6FEB"/>
    <w:rsid w:val="00DC79CA"/>
    <w:rsid w:val="00DC7DC9"/>
    <w:rsid w:val="00DD06A7"/>
    <w:rsid w:val="00DD10F7"/>
    <w:rsid w:val="00DD1404"/>
    <w:rsid w:val="00DD2CD3"/>
    <w:rsid w:val="00DD435D"/>
    <w:rsid w:val="00DD4371"/>
    <w:rsid w:val="00DD5CCD"/>
    <w:rsid w:val="00DD6991"/>
    <w:rsid w:val="00DE0869"/>
    <w:rsid w:val="00DE0F8A"/>
    <w:rsid w:val="00DE25CA"/>
    <w:rsid w:val="00DE308D"/>
    <w:rsid w:val="00DE429F"/>
    <w:rsid w:val="00DE4F5B"/>
    <w:rsid w:val="00DE640A"/>
    <w:rsid w:val="00DE713D"/>
    <w:rsid w:val="00DF203B"/>
    <w:rsid w:val="00DF37F8"/>
    <w:rsid w:val="00DF450C"/>
    <w:rsid w:val="00DF4B44"/>
    <w:rsid w:val="00DF543A"/>
    <w:rsid w:val="00DF758B"/>
    <w:rsid w:val="00E0110F"/>
    <w:rsid w:val="00E01C79"/>
    <w:rsid w:val="00E01D9A"/>
    <w:rsid w:val="00E020D2"/>
    <w:rsid w:val="00E02125"/>
    <w:rsid w:val="00E0271F"/>
    <w:rsid w:val="00E02D14"/>
    <w:rsid w:val="00E03137"/>
    <w:rsid w:val="00E03E97"/>
    <w:rsid w:val="00E04243"/>
    <w:rsid w:val="00E050F0"/>
    <w:rsid w:val="00E051A2"/>
    <w:rsid w:val="00E053FF"/>
    <w:rsid w:val="00E05C8F"/>
    <w:rsid w:val="00E10628"/>
    <w:rsid w:val="00E10B89"/>
    <w:rsid w:val="00E11800"/>
    <w:rsid w:val="00E11CB6"/>
    <w:rsid w:val="00E122F1"/>
    <w:rsid w:val="00E124B9"/>
    <w:rsid w:val="00E13155"/>
    <w:rsid w:val="00E13397"/>
    <w:rsid w:val="00E13553"/>
    <w:rsid w:val="00E13A05"/>
    <w:rsid w:val="00E13FF4"/>
    <w:rsid w:val="00E1421A"/>
    <w:rsid w:val="00E1475B"/>
    <w:rsid w:val="00E20006"/>
    <w:rsid w:val="00E2196D"/>
    <w:rsid w:val="00E22D1E"/>
    <w:rsid w:val="00E242C5"/>
    <w:rsid w:val="00E24300"/>
    <w:rsid w:val="00E2468A"/>
    <w:rsid w:val="00E26582"/>
    <w:rsid w:val="00E27A7F"/>
    <w:rsid w:val="00E27C74"/>
    <w:rsid w:val="00E300C6"/>
    <w:rsid w:val="00E304BB"/>
    <w:rsid w:val="00E30895"/>
    <w:rsid w:val="00E31F46"/>
    <w:rsid w:val="00E32B21"/>
    <w:rsid w:val="00E32F2E"/>
    <w:rsid w:val="00E36132"/>
    <w:rsid w:val="00E36C8D"/>
    <w:rsid w:val="00E36CC1"/>
    <w:rsid w:val="00E36DC1"/>
    <w:rsid w:val="00E37C99"/>
    <w:rsid w:val="00E40DF8"/>
    <w:rsid w:val="00E41A6A"/>
    <w:rsid w:val="00E42936"/>
    <w:rsid w:val="00E43846"/>
    <w:rsid w:val="00E440EB"/>
    <w:rsid w:val="00E456DC"/>
    <w:rsid w:val="00E467DD"/>
    <w:rsid w:val="00E520AA"/>
    <w:rsid w:val="00E53669"/>
    <w:rsid w:val="00E539AF"/>
    <w:rsid w:val="00E54F47"/>
    <w:rsid w:val="00E550FF"/>
    <w:rsid w:val="00E55B38"/>
    <w:rsid w:val="00E57323"/>
    <w:rsid w:val="00E579F2"/>
    <w:rsid w:val="00E60CD6"/>
    <w:rsid w:val="00E6301C"/>
    <w:rsid w:val="00E63A2A"/>
    <w:rsid w:val="00E64D39"/>
    <w:rsid w:val="00E65AAB"/>
    <w:rsid w:val="00E65E3D"/>
    <w:rsid w:val="00E663F4"/>
    <w:rsid w:val="00E6648A"/>
    <w:rsid w:val="00E702CF"/>
    <w:rsid w:val="00E70856"/>
    <w:rsid w:val="00E70E03"/>
    <w:rsid w:val="00E72388"/>
    <w:rsid w:val="00E74B1B"/>
    <w:rsid w:val="00E77C48"/>
    <w:rsid w:val="00E8037E"/>
    <w:rsid w:val="00E8072D"/>
    <w:rsid w:val="00E81B06"/>
    <w:rsid w:val="00E83CC1"/>
    <w:rsid w:val="00E8426C"/>
    <w:rsid w:val="00E90E28"/>
    <w:rsid w:val="00E963D6"/>
    <w:rsid w:val="00E97379"/>
    <w:rsid w:val="00E975F2"/>
    <w:rsid w:val="00EA03FD"/>
    <w:rsid w:val="00EA1E5D"/>
    <w:rsid w:val="00EA24D0"/>
    <w:rsid w:val="00EA31BB"/>
    <w:rsid w:val="00EA32EC"/>
    <w:rsid w:val="00EA3B2C"/>
    <w:rsid w:val="00EA5205"/>
    <w:rsid w:val="00EA524F"/>
    <w:rsid w:val="00EB0493"/>
    <w:rsid w:val="00EB0E64"/>
    <w:rsid w:val="00EB0F39"/>
    <w:rsid w:val="00EB373F"/>
    <w:rsid w:val="00EB3FE1"/>
    <w:rsid w:val="00EB40B2"/>
    <w:rsid w:val="00EB4D52"/>
    <w:rsid w:val="00EB679C"/>
    <w:rsid w:val="00EB6CE9"/>
    <w:rsid w:val="00EC01D1"/>
    <w:rsid w:val="00EC2C42"/>
    <w:rsid w:val="00EC2E30"/>
    <w:rsid w:val="00EC3242"/>
    <w:rsid w:val="00EC33E8"/>
    <w:rsid w:val="00EC4724"/>
    <w:rsid w:val="00EC504A"/>
    <w:rsid w:val="00EC5077"/>
    <w:rsid w:val="00EC799B"/>
    <w:rsid w:val="00EC79B3"/>
    <w:rsid w:val="00ED124D"/>
    <w:rsid w:val="00ED2CDE"/>
    <w:rsid w:val="00ED62F1"/>
    <w:rsid w:val="00ED6963"/>
    <w:rsid w:val="00ED6D10"/>
    <w:rsid w:val="00EE04FE"/>
    <w:rsid w:val="00EE13D4"/>
    <w:rsid w:val="00EE1B99"/>
    <w:rsid w:val="00EE26B0"/>
    <w:rsid w:val="00EE292E"/>
    <w:rsid w:val="00EE2AEA"/>
    <w:rsid w:val="00EE503A"/>
    <w:rsid w:val="00EE5513"/>
    <w:rsid w:val="00EE5AE8"/>
    <w:rsid w:val="00EE6986"/>
    <w:rsid w:val="00EE6FE4"/>
    <w:rsid w:val="00EF084B"/>
    <w:rsid w:val="00EF1DDF"/>
    <w:rsid w:val="00EF3164"/>
    <w:rsid w:val="00EF3CE9"/>
    <w:rsid w:val="00EF47C1"/>
    <w:rsid w:val="00EF5289"/>
    <w:rsid w:val="00EF6404"/>
    <w:rsid w:val="00EF6723"/>
    <w:rsid w:val="00EF6C4D"/>
    <w:rsid w:val="00EF7A60"/>
    <w:rsid w:val="00F03A6D"/>
    <w:rsid w:val="00F0574D"/>
    <w:rsid w:val="00F06632"/>
    <w:rsid w:val="00F10106"/>
    <w:rsid w:val="00F10460"/>
    <w:rsid w:val="00F11C5D"/>
    <w:rsid w:val="00F15117"/>
    <w:rsid w:val="00F1527F"/>
    <w:rsid w:val="00F15B19"/>
    <w:rsid w:val="00F1612D"/>
    <w:rsid w:val="00F1692E"/>
    <w:rsid w:val="00F217F7"/>
    <w:rsid w:val="00F22A55"/>
    <w:rsid w:val="00F232A5"/>
    <w:rsid w:val="00F2371C"/>
    <w:rsid w:val="00F24BC0"/>
    <w:rsid w:val="00F2540F"/>
    <w:rsid w:val="00F2683B"/>
    <w:rsid w:val="00F275D9"/>
    <w:rsid w:val="00F3097E"/>
    <w:rsid w:val="00F33230"/>
    <w:rsid w:val="00F3392B"/>
    <w:rsid w:val="00F339F3"/>
    <w:rsid w:val="00F362D2"/>
    <w:rsid w:val="00F379B0"/>
    <w:rsid w:val="00F37B04"/>
    <w:rsid w:val="00F40D19"/>
    <w:rsid w:val="00F4770B"/>
    <w:rsid w:val="00F51356"/>
    <w:rsid w:val="00F51D54"/>
    <w:rsid w:val="00F525E1"/>
    <w:rsid w:val="00F555BB"/>
    <w:rsid w:val="00F559D9"/>
    <w:rsid w:val="00F56B3C"/>
    <w:rsid w:val="00F62024"/>
    <w:rsid w:val="00F62A4D"/>
    <w:rsid w:val="00F6454F"/>
    <w:rsid w:val="00F678BD"/>
    <w:rsid w:val="00F67ACD"/>
    <w:rsid w:val="00F700B3"/>
    <w:rsid w:val="00F70901"/>
    <w:rsid w:val="00F71AF0"/>
    <w:rsid w:val="00F71BAB"/>
    <w:rsid w:val="00F72D7F"/>
    <w:rsid w:val="00F73F3B"/>
    <w:rsid w:val="00F75D1A"/>
    <w:rsid w:val="00F768F4"/>
    <w:rsid w:val="00F77791"/>
    <w:rsid w:val="00F779CA"/>
    <w:rsid w:val="00F80226"/>
    <w:rsid w:val="00F80BBF"/>
    <w:rsid w:val="00F835D3"/>
    <w:rsid w:val="00F83BE0"/>
    <w:rsid w:val="00F85CEA"/>
    <w:rsid w:val="00F86017"/>
    <w:rsid w:val="00F86096"/>
    <w:rsid w:val="00F861BB"/>
    <w:rsid w:val="00F871A3"/>
    <w:rsid w:val="00F9124E"/>
    <w:rsid w:val="00F91E65"/>
    <w:rsid w:val="00F920A7"/>
    <w:rsid w:val="00F92907"/>
    <w:rsid w:val="00F93FB9"/>
    <w:rsid w:val="00F943E5"/>
    <w:rsid w:val="00F947C4"/>
    <w:rsid w:val="00F94D76"/>
    <w:rsid w:val="00F950AB"/>
    <w:rsid w:val="00F9527B"/>
    <w:rsid w:val="00F95BE7"/>
    <w:rsid w:val="00F95D35"/>
    <w:rsid w:val="00F97754"/>
    <w:rsid w:val="00FA0358"/>
    <w:rsid w:val="00FA19E0"/>
    <w:rsid w:val="00FA1CEC"/>
    <w:rsid w:val="00FA3745"/>
    <w:rsid w:val="00FA46AB"/>
    <w:rsid w:val="00FA4902"/>
    <w:rsid w:val="00FA4CC1"/>
    <w:rsid w:val="00FA58CC"/>
    <w:rsid w:val="00FA5BAF"/>
    <w:rsid w:val="00FA6035"/>
    <w:rsid w:val="00FA7082"/>
    <w:rsid w:val="00FA7E89"/>
    <w:rsid w:val="00FB28CF"/>
    <w:rsid w:val="00FB2DEC"/>
    <w:rsid w:val="00FB3428"/>
    <w:rsid w:val="00FB344C"/>
    <w:rsid w:val="00FB3724"/>
    <w:rsid w:val="00FB4D21"/>
    <w:rsid w:val="00FB6AF8"/>
    <w:rsid w:val="00FB77A4"/>
    <w:rsid w:val="00FC081E"/>
    <w:rsid w:val="00FC0A3D"/>
    <w:rsid w:val="00FC0FA8"/>
    <w:rsid w:val="00FC31EC"/>
    <w:rsid w:val="00FC653E"/>
    <w:rsid w:val="00FC6728"/>
    <w:rsid w:val="00FC6C1D"/>
    <w:rsid w:val="00FD08E1"/>
    <w:rsid w:val="00FD30B9"/>
    <w:rsid w:val="00FD4DD2"/>
    <w:rsid w:val="00FD578B"/>
    <w:rsid w:val="00FD70DA"/>
    <w:rsid w:val="00FD752C"/>
    <w:rsid w:val="00FD7A5A"/>
    <w:rsid w:val="00FE18C9"/>
    <w:rsid w:val="00FE204E"/>
    <w:rsid w:val="00FE22D0"/>
    <w:rsid w:val="00FE3C3C"/>
    <w:rsid w:val="00FE623E"/>
    <w:rsid w:val="00FE6350"/>
    <w:rsid w:val="00FF2ECD"/>
    <w:rsid w:val="00FF3025"/>
    <w:rsid w:val="00FF367C"/>
    <w:rsid w:val="00FF4BEF"/>
    <w:rsid w:val="00FF736F"/>
    <w:rsid w:val="00FF75B6"/>
    <w:rsid w:val="00FF79B0"/>
    <w:rsid w:val="00FF7DBA"/>
    <w:rsid w:val="01A8115E"/>
    <w:rsid w:val="020C5BC1"/>
    <w:rsid w:val="02107272"/>
    <w:rsid w:val="021B10A5"/>
    <w:rsid w:val="02254DEC"/>
    <w:rsid w:val="022604F4"/>
    <w:rsid w:val="023C6722"/>
    <w:rsid w:val="024F5D98"/>
    <w:rsid w:val="028106AC"/>
    <w:rsid w:val="02AA1ED2"/>
    <w:rsid w:val="02C74D53"/>
    <w:rsid w:val="02EB63C1"/>
    <w:rsid w:val="0328245F"/>
    <w:rsid w:val="03693CD6"/>
    <w:rsid w:val="036B3E87"/>
    <w:rsid w:val="0386179B"/>
    <w:rsid w:val="03A34A30"/>
    <w:rsid w:val="03B0742C"/>
    <w:rsid w:val="03D15A82"/>
    <w:rsid w:val="03E430AD"/>
    <w:rsid w:val="03F751BF"/>
    <w:rsid w:val="04181C7C"/>
    <w:rsid w:val="046F6FEA"/>
    <w:rsid w:val="048A2FB6"/>
    <w:rsid w:val="054908A7"/>
    <w:rsid w:val="054929BB"/>
    <w:rsid w:val="055C43EF"/>
    <w:rsid w:val="05677AB0"/>
    <w:rsid w:val="05826E41"/>
    <w:rsid w:val="059B5E62"/>
    <w:rsid w:val="05DF4E2F"/>
    <w:rsid w:val="05E14985"/>
    <w:rsid w:val="05E956DF"/>
    <w:rsid w:val="0604361A"/>
    <w:rsid w:val="060F51FA"/>
    <w:rsid w:val="061E6453"/>
    <w:rsid w:val="06211E73"/>
    <w:rsid w:val="06412F18"/>
    <w:rsid w:val="06543844"/>
    <w:rsid w:val="072732B8"/>
    <w:rsid w:val="07500334"/>
    <w:rsid w:val="075B0153"/>
    <w:rsid w:val="07BE5CF7"/>
    <w:rsid w:val="07C04D17"/>
    <w:rsid w:val="07D57AC7"/>
    <w:rsid w:val="08202518"/>
    <w:rsid w:val="084A6693"/>
    <w:rsid w:val="0853735D"/>
    <w:rsid w:val="085F7E76"/>
    <w:rsid w:val="08640F89"/>
    <w:rsid w:val="08B65A4B"/>
    <w:rsid w:val="0949074C"/>
    <w:rsid w:val="094C2E3A"/>
    <w:rsid w:val="096E5B35"/>
    <w:rsid w:val="09B57E4B"/>
    <w:rsid w:val="09EF766A"/>
    <w:rsid w:val="09F21FE0"/>
    <w:rsid w:val="0A193860"/>
    <w:rsid w:val="0A4B762F"/>
    <w:rsid w:val="0A8A314C"/>
    <w:rsid w:val="0AB82304"/>
    <w:rsid w:val="0ADD3CF6"/>
    <w:rsid w:val="0AF52A24"/>
    <w:rsid w:val="0B0401B1"/>
    <w:rsid w:val="0B575F31"/>
    <w:rsid w:val="0B9678FA"/>
    <w:rsid w:val="0C0858C1"/>
    <w:rsid w:val="0C1D2820"/>
    <w:rsid w:val="0C3F039B"/>
    <w:rsid w:val="0C477F3C"/>
    <w:rsid w:val="0C5B76D5"/>
    <w:rsid w:val="0C887428"/>
    <w:rsid w:val="0C9B24F8"/>
    <w:rsid w:val="0D16287A"/>
    <w:rsid w:val="0D5A4433"/>
    <w:rsid w:val="0D5D4918"/>
    <w:rsid w:val="0D80443E"/>
    <w:rsid w:val="0DCE6912"/>
    <w:rsid w:val="0E0D4649"/>
    <w:rsid w:val="0E5A1ECB"/>
    <w:rsid w:val="0E7F7CC4"/>
    <w:rsid w:val="0E933DCD"/>
    <w:rsid w:val="0EC22926"/>
    <w:rsid w:val="0EE409AD"/>
    <w:rsid w:val="0F2E159B"/>
    <w:rsid w:val="0F8D6272"/>
    <w:rsid w:val="0FF22B34"/>
    <w:rsid w:val="10013B81"/>
    <w:rsid w:val="100A5D4B"/>
    <w:rsid w:val="10106A1B"/>
    <w:rsid w:val="103663C3"/>
    <w:rsid w:val="108318B9"/>
    <w:rsid w:val="10854D98"/>
    <w:rsid w:val="10DD3423"/>
    <w:rsid w:val="110C265C"/>
    <w:rsid w:val="11343333"/>
    <w:rsid w:val="11416325"/>
    <w:rsid w:val="117203A7"/>
    <w:rsid w:val="11BC06CB"/>
    <w:rsid w:val="11D645C8"/>
    <w:rsid w:val="11EA0B9B"/>
    <w:rsid w:val="12C33960"/>
    <w:rsid w:val="1317447F"/>
    <w:rsid w:val="13B1331F"/>
    <w:rsid w:val="1408318C"/>
    <w:rsid w:val="141D1BD6"/>
    <w:rsid w:val="14205CC7"/>
    <w:rsid w:val="144F19FB"/>
    <w:rsid w:val="14723AD3"/>
    <w:rsid w:val="14D60B58"/>
    <w:rsid w:val="14E65A16"/>
    <w:rsid w:val="14F03466"/>
    <w:rsid w:val="15530A9B"/>
    <w:rsid w:val="15837602"/>
    <w:rsid w:val="15995815"/>
    <w:rsid w:val="15E431BE"/>
    <w:rsid w:val="15EB1367"/>
    <w:rsid w:val="160E3489"/>
    <w:rsid w:val="164D1BE8"/>
    <w:rsid w:val="16695041"/>
    <w:rsid w:val="169823AD"/>
    <w:rsid w:val="16AF01C9"/>
    <w:rsid w:val="16D32DCE"/>
    <w:rsid w:val="16E909E9"/>
    <w:rsid w:val="170256DE"/>
    <w:rsid w:val="17402CC6"/>
    <w:rsid w:val="174711E7"/>
    <w:rsid w:val="178D7833"/>
    <w:rsid w:val="17F80769"/>
    <w:rsid w:val="1818683B"/>
    <w:rsid w:val="18617869"/>
    <w:rsid w:val="18A3021C"/>
    <w:rsid w:val="18A3542F"/>
    <w:rsid w:val="18A60B49"/>
    <w:rsid w:val="18DB6C81"/>
    <w:rsid w:val="18F25D5F"/>
    <w:rsid w:val="192007EC"/>
    <w:rsid w:val="19B27D91"/>
    <w:rsid w:val="19BE3068"/>
    <w:rsid w:val="19F113DF"/>
    <w:rsid w:val="1A6857EA"/>
    <w:rsid w:val="1A6C1B56"/>
    <w:rsid w:val="1A834DD3"/>
    <w:rsid w:val="1AE00933"/>
    <w:rsid w:val="1B053269"/>
    <w:rsid w:val="1B0B0B0E"/>
    <w:rsid w:val="1B1D4CE1"/>
    <w:rsid w:val="1B3D3D6A"/>
    <w:rsid w:val="1B6C6FF5"/>
    <w:rsid w:val="1BA73BFC"/>
    <w:rsid w:val="1BF44DF8"/>
    <w:rsid w:val="1C66448C"/>
    <w:rsid w:val="1C7C3FA8"/>
    <w:rsid w:val="1CA23741"/>
    <w:rsid w:val="1CA57A09"/>
    <w:rsid w:val="1CC50560"/>
    <w:rsid w:val="1CC52CF2"/>
    <w:rsid w:val="1CE47A2E"/>
    <w:rsid w:val="1D42059B"/>
    <w:rsid w:val="1D4D07EF"/>
    <w:rsid w:val="1DAA513E"/>
    <w:rsid w:val="1E2B4948"/>
    <w:rsid w:val="1E3F2E59"/>
    <w:rsid w:val="1E3F52A2"/>
    <w:rsid w:val="1E481F60"/>
    <w:rsid w:val="1E695108"/>
    <w:rsid w:val="1E815ADA"/>
    <w:rsid w:val="1F183FEA"/>
    <w:rsid w:val="1F193AF2"/>
    <w:rsid w:val="1F196EC3"/>
    <w:rsid w:val="1F3A1586"/>
    <w:rsid w:val="1F5B2EB7"/>
    <w:rsid w:val="1F845A1F"/>
    <w:rsid w:val="1FA748A0"/>
    <w:rsid w:val="1FBC5C05"/>
    <w:rsid w:val="201101A6"/>
    <w:rsid w:val="20544AB4"/>
    <w:rsid w:val="205879AE"/>
    <w:rsid w:val="20642F9E"/>
    <w:rsid w:val="208D4C8D"/>
    <w:rsid w:val="209F3640"/>
    <w:rsid w:val="20A149E7"/>
    <w:rsid w:val="20D36F4A"/>
    <w:rsid w:val="20F76701"/>
    <w:rsid w:val="20FE77CE"/>
    <w:rsid w:val="21A77677"/>
    <w:rsid w:val="21E13460"/>
    <w:rsid w:val="224C1B70"/>
    <w:rsid w:val="22800BB3"/>
    <w:rsid w:val="22D41896"/>
    <w:rsid w:val="22EB10A1"/>
    <w:rsid w:val="232520A0"/>
    <w:rsid w:val="234F55BE"/>
    <w:rsid w:val="237E79E5"/>
    <w:rsid w:val="2396423E"/>
    <w:rsid w:val="23F32CD6"/>
    <w:rsid w:val="243B7E59"/>
    <w:rsid w:val="24CB24DD"/>
    <w:rsid w:val="24F13650"/>
    <w:rsid w:val="257F4238"/>
    <w:rsid w:val="25A42C44"/>
    <w:rsid w:val="260E57CC"/>
    <w:rsid w:val="26562A61"/>
    <w:rsid w:val="266D1ECE"/>
    <w:rsid w:val="269672EA"/>
    <w:rsid w:val="26A74282"/>
    <w:rsid w:val="26AE556D"/>
    <w:rsid w:val="26C6163F"/>
    <w:rsid w:val="26C727A6"/>
    <w:rsid w:val="26C81D98"/>
    <w:rsid w:val="27543DE1"/>
    <w:rsid w:val="27BE4907"/>
    <w:rsid w:val="27C522C0"/>
    <w:rsid w:val="27F54F59"/>
    <w:rsid w:val="281F4882"/>
    <w:rsid w:val="284C256D"/>
    <w:rsid w:val="288A70C5"/>
    <w:rsid w:val="2890682A"/>
    <w:rsid w:val="28A7493E"/>
    <w:rsid w:val="28C8617E"/>
    <w:rsid w:val="28D66162"/>
    <w:rsid w:val="28FB1940"/>
    <w:rsid w:val="295B3B18"/>
    <w:rsid w:val="2A0C5985"/>
    <w:rsid w:val="2A3D1DC5"/>
    <w:rsid w:val="2A7B2D38"/>
    <w:rsid w:val="2A8B5EE7"/>
    <w:rsid w:val="2AC0401F"/>
    <w:rsid w:val="2AC90511"/>
    <w:rsid w:val="2AEB214C"/>
    <w:rsid w:val="2B4E2456"/>
    <w:rsid w:val="2B707D4E"/>
    <w:rsid w:val="2B8A63D5"/>
    <w:rsid w:val="2B8A6FC1"/>
    <w:rsid w:val="2BB07A73"/>
    <w:rsid w:val="2BB22BC2"/>
    <w:rsid w:val="2BDF28B8"/>
    <w:rsid w:val="2BF76006"/>
    <w:rsid w:val="2C2852AA"/>
    <w:rsid w:val="2C551852"/>
    <w:rsid w:val="2C8B49BB"/>
    <w:rsid w:val="2CF454A0"/>
    <w:rsid w:val="2D2A51AA"/>
    <w:rsid w:val="2E096CAB"/>
    <w:rsid w:val="2E0C6052"/>
    <w:rsid w:val="2E8C0042"/>
    <w:rsid w:val="2F177D58"/>
    <w:rsid w:val="2F2A5448"/>
    <w:rsid w:val="2F5E144C"/>
    <w:rsid w:val="2F72696A"/>
    <w:rsid w:val="2F9537AC"/>
    <w:rsid w:val="2FEB7E4E"/>
    <w:rsid w:val="302835F6"/>
    <w:rsid w:val="304E1920"/>
    <w:rsid w:val="30705262"/>
    <w:rsid w:val="30D00ABF"/>
    <w:rsid w:val="30E532B0"/>
    <w:rsid w:val="310037A1"/>
    <w:rsid w:val="31627DE9"/>
    <w:rsid w:val="318E51AE"/>
    <w:rsid w:val="31E848EE"/>
    <w:rsid w:val="32015003"/>
    <w:rsid w:val="320561C6"/>
    <w:rsid w:val="32AA5520"/>
    <w:rsid w:val="32AD13C1"/>
    <w:rsid w:val="33043BB0"/>
    <w:rsid w:val="333B353C"/>
    <w:rsid w:val="33871744"/>
    <w:rsid w:val="33926C40"/>
    <w:rsid w:val="33C944D5"/>
    <w:rsid w:val="33EF7818"/>
    <w:rsid w:val="33F20D3B"/>
    <w:rsid w:val="34112643"/>
    <w:rsid w:val="344D4C0B"/>
    <w:rsid w:val="34600363"/>
    <w:rsid w:val="34D62B3E"/>
    <w:rsid w:val="34DC380E"/>
    <w:rsid w:val="35920128"/>
    <w:rsid w:val="35B20598"/>
    <w:rsid w:val="35E3349C"/>
    <w:rsid w:val="36066507"/>
    <w:rsid w:val="3642183A"/>
    <w:rsid w:val="36423AF5"/>
    <w:rsid w:val="3646049C"/>
    <w:rsid w:val="36C420B6"/>
    <w:rsid w:val="36DC48C9"/>
    <w:rsid w:val="36F00E3E"/>
    <w:rsid w:val="376A047D"/>
    <w:rsid w:val="378E0A56"/>
    <w:rsid w:val="37BB3FCF"/>
    <w:rsid w:val="37CC5A2D"/>
    <w:rsid w:val="38244A68"/>
    <w:rsid w:val="387B1730"/>
    <w:rsid w:val="38AF4464"/>
    <w:rsid w:val="38C6408A"/>
    <w:rsid w:val="38CC623A"/>
    <w:rsid w:val="38E3369D"/>
    <w:rsid w:val="38FF708F"/>
    <w:rsid w:val="391B5DD1"/>
    <w:rsid w:val="391F4CFF"/>
    <w:rsid w:val="39281CDD"/>
    <w:rsid w:val="39336560"/>
    <w:rsid w:val="394F1270"/>
    <w:rsid w:val="39627AE9"/>
    <w:rsid w:val="39881E99"/>
    <w:rsid w:val="39B301CA"/>
    <w:rsid w:val="39C7569B"/>
    <w:rsid w:val="39D254A5"/>
    <w:rsid w:val="39ED6065"/>
    <w:rsid w:val="39ED79A4"/>
    <w:rsid w:val="3A286BE4"/>
    <w:rsid w:val="3A4F1C9C"/>
    <w:rsid w:val="3A75168F"/>
    <w:rsid w:val="3AAB01C4"/>
    <w:rsid w:val="3B563785"/>
    <w:rsid w:val="3B6F63ED"/>
    <w:rsid w:val="3B9B5C4E"/>
    <w:rsid w:val="3B9D1229"/>
    <w:rsid w:val="3BBF16F2"/>
    <w:rsid w:val="3BF42517"/>
    <w:rsid w:val="3BFC089D"/>
    <w:rsid w:val="3C4B0997"/>
    <w:rsid w:val="3C6B4003"/>
    <w:rsid w:val="3CBD63D0"/>
    <w:rsid w:val="3CE759DE"/>
    <w:rsid w:val="3D114D6A"/>
    <w:rsid w:val="3D3C0B05"/>
    <w:rsid w:val="3D65547D"/>
    <w:rsid w:val="3D7F5912"/>
    <w:rsid w:val="3DAD3EE7"/>
    <w:rsid w:val="3DB2616A"/>
    <w:rsid w:val="3DD24609"/>
    <w:rsid w:val="3DDF1F52"/>
    <w:rsid w:val="3DE94E13"/>
    <w:rsid w:val="3E2606D9"/>
    <w:rsid w:val="3E276AEE"/>
    <w:rsid w:val="3E6E57E5"/>
    <w:rsid w:val="3E8370F1"/>
    <w:rsid w:val="3ED51262"/>
    <w:rsid w:val="3F003ADB"/>
    <w:rsid w:val="3F103A10"/>
    <w:rsid w:val="3F3D1FC2"/>
    <w:rsid w:val="3FB903E1"/>
    <w:rsid w:val="3FD275D4"/>
    <w:rsid w:val="40365BCC"/>
    <w:rsid w:val="40407CD8"/>
    <w:rsid w:val="405274AE"/>
    <w:rsid w:val="40BC1ABA"/>
    <w:rsid w:val="40EE570C"/>
    <w:rsid w:val="40F12069"/>
    <w:rsid w:val="40FA132D"/>
    <w:rsid w:val="411B0E80"/>
    <w:rsid w:val="41560BD1"/>
    <w:rsid w:val="41954D55"/>
    <w:rsid w:val="419B25EA"/>
    <w:rsid w:val="41A02B9F"/>
    <w:rsid w:val="41AE7413"/>
    <w:rsid w:val="41CE31EF"/>
    <w:rsid w:val="41D866C5"/>
    <w:rsid w:val="41E14248"/>
    <w:rsid w:val="41E41C62"/>
    <w:rsid w:val="42126767"/>
    <w:rsid w:val="421C4ED3"/>
    <w:rsid w:val="42344D2F"/>
    <w:rsid w:val="42371327"/>
    <w:rsid w:val="425C215A"/>
    <w:rsid w:val="426674B2"/>
    <w:rsid w:val="42A555F3"/>
    <w:rsid w:val="437E0BE6"/>
    <w:rsid w:val="43A55596"/>
    <w:rsid w:val="43B00AB0"/>
    <w:rsid w:val="4458453E"/>
    <w:rsid w:val="4482311A"/>
    <w:rsid w:val="44A00827"/>
    <w:rsid w:val="44FC744E"/>
    <w:rsid w:val="45012850"/>
    <w:rsid w:val="45D21BC2"/>
    <w:rsid w:val="45F419E3"/>
    <w:rsid w:val="46DE2DF7"/>
    <w:rsid w:val="471006F9"/>
    <w:rsid w:val="473C5335"/>
    <w:rsid w:val="47511A12"/>
    <w:rsid w:val="4835019C"/>
    <w:rsid w:val="48585541"/>
    <w:rsid w:val="48A67325"/>
    <w:rsid w:val="48ED4D42"/>
    <w:rsid w:val="49116750"/>
    <w:rsid w:val="49267BF0"/>
    <w:rsid w:val="49EB218A"/>
    <w:rsid w:val="49F4685E"/>
    <w:rsid w:val="4A0649D2"/>
    <w:rsid w:val="4B1A1DB4"/>
    <w:rsid w:val="4B330D8C"/>
    <w:rsid w:val="4B4E0B34"/>
    <w:rsid w:val="4B57430C"/>
    <w:rsid w:val="4B6D4B57"/>
    <w:rsid w:val="4BA40448"/>
    <w:rsid w:val="4BEE52E2"/>
    <w:rsid w:val="4BEF607F"/>
    <w:rsid w:val="4C045F85"/>
    <w:rsid w:val="4C1174EB"/>
    <w:rsid w:val="4C7C6647"/>
    <w:rsid w:val="4C8A55EE"/>
    <w:rsid w:val="4CB47278"/>
    <w:rsid w:val="4D3F0175"/>
    <w:rsid w:val="4D505A91"/>
    <w:rsid w:val="4D847A5A"/>
    <w:rsid w:val="4DA03FA1"/>
    <w:rsid w:val="4DF77BA1"/>
    <w:rsid w:val="4E0974CB"/>
    <w:rsid w:val="4E1E01C0"/>
    <w:rsid w:val="4E514F33"/>
    <w:rsid w:val="4E8A34EE"/>
    <w:rsid w:val="4EC336F6"/>
    <w:rsid w:val="4ED136B9"/>
    <w:rsid w:val="4F2A00F1"/>
    <w:rsid w:val="4F2A4DF4"/>
    <w:rsid w:val="4F3A41F3"/>
    <w:rsid w:val="4F583516"/>
    <w:rsid w:val="4F6E6378"/>
    <w:rsid w:val="4F820C33"/>
    <w:rsid w:val="4F9F43C0"/>
    <w:rsid w:val="4FB14A8E"/>
    <w:rsid w:val="50020C08"/>
    <w:rsid w:val="50075413"/>
    <w:rsid w:val="503844B2"/>
    <w:rsid w:val="50AF54AF"/>
    <w:rsid w:val="512D02BA"/>
    <w:rsid w:val="515D6D93"/>
    <w:rsid w:val="51942E1E"/>
    <w:rsid w:val="51FA45C0"/>
    <w:rsid w:val="52324230"/>
    <w:rsid w:val="526243F5"/>
    <w:rsid w:val="52641DDA"/>
    <w:rsid w:val="52827B95"/>
    <w:rsid w:val="52976A20"/>
    <w:rsid w:val="52BC0945"/>
    <w:rsid w:val="536726CE"/>
    <w:rsid w:val="536A5085"/>
    <w:rsid w:val="539F5950"/>
    <w:rsid w:val="53BD444A"/>
    <w:rsid w:val="53EA39FA"/>
    <w:rsid w:val="540F5581"/>
    <w:rsid w:val="54113FCE"/>
    <w:rsid w:val="54340E71"/>
    <w:rsid w:val="543C6B5E"/>
    <w:rsid w:val="5441439E"/>
    <w:rsid w:val="547E074C"/>
    <w:rsid w:val="548F31FB"/>
    <w:rsid w:val="5563320C"/>
    <w:rsid w:val="55636841"/>
    <w:rsid w:val="5582778D"/>
    <w:rsid w:val="5599305E"/>
    <w:rsid w:val="55A16D52"/>
    <w:rsid w:val="55AD5B8C"/>
    <w:rsid w:val="570A2F56"/>
    <w:rsid w:val="5732023B"/>
    <w:rsid w:val="5756409D"/>
    <w:rsid w:val="5783765E"/>
    <w:rsid w:val="57B77F01"/>
    <w:rsid w:val="57DD16CC"/>
    <w:rsid w:val="585B7A95"/>
    <w:rsid w:val="58702601"/>
    <w:rsid w:val="58F55D51"/>
    <w:rsid w:val="596E45BA"/>
    <w:rsid w:val="599D1C32"/>
    <w:rsid w:val="59D7525C"/>
    <w:rsid w:val="59F21B6F"/>
    <w:rsid w:val="5A0177FC"/>
    <w:rsid w:val="5A8928A1"/>
    <w:rsid w:val="5A9F2833"/>
    <w:rsid w:val="5ABA7CEC"/>
    <w:rsid w:val="5AD2746D"/>
    <w:rsid w:val="5AE62889"/>
    <w:rsid w:val="5AEC4071"/>
    <w:rsid w:val="5B253BB2"/>
    <w:rsid w:val="5B70281A"/>
    <w:rsid w:val="5BAC3C77"/>
    <w:rsid w:val="5BB47AA6"/>
    <w:rsid w:val="5BC21A8E"/>
    <w:rsid w:val="5BC35641"/>
    <w:rsid w:val="5BCB32C9"/>
    <w:rsid w:val="5BCC345F"/>
    <w:rsid w:val="5BFC60AB"/>
    <w:rsid w:val="5C003AE0"/>
    <w:rsid w:val="5C216EE8"/>
    <w:rsid w:val="5C297524"/>
    <w:rsid w:val="5CB45457"/>
    <w:rsid w:val="5CF37102"/>
    <w:rsid w:val="5DB65DDF"/>
    <w:rsid w:val="5E404E81"/>
    <w:rsid w:val="5E5050B6"/>
    <w:rsid w:val="5E77043E"/>
    <w:rsid w:val="5EA376A3"/>
    <w:rsid w:val="5F3028E1"/>
    <w:rsid w:val="5F492524"/>
    <w:rsid w:val="5F540868"/>
    <w:rsid w:val="5F586D2C"/>
    <w:rsid w:val="5F664147"/>
    <w:rsid w:val="5FE2568A"/>
    <w:rsid w:val="5FF7720F"/>
    <w:rsid w:val="5FFC039C"/>
    <w:rsid w:val="60045B37"/>
    <w:rsid w:val="605A249B"/>
    <w:rsid w:val="60767B59"/>
    <w:rsid w:val="60834C62"/>
    <w:rsid w:val="608868F5"/>
    <w:rsid w:val="608B47FD"/>
    <w:rsid w:val="60B85306"/>
    <w:rsid w:val="60D31B9F"/>
    <w:rsid w:val="60DA2C18"/>
    <w:rsid w:val="610D5222"/>
    <w:rsid w:val="612C544F"/>
    <w:rsid w:val="614119CB"/>
    <w:rsid w:val="616136E9"/>
    <w:rsid w:val="61714D8E"/>
    <w:rsid w:val="617E3054"/>
    <w:rsid w:val="61913AD1"/>
    <w:rsid w:val="61E53F86"/>
    <w:rsid w:val="627A3105"/>
    <w:rsid w:val="628F4AA3"/>
    <w:rsid w:val="62C470E5"/>
    <w:rsid w:val="634725DF"/>
    <w:rsid w:val="63496411"/>
    <w:rsid w:val="63CE3340"/>
    <w:rsid w:val="63F54446"/>
    <w:rsid w:val="63FB0B95"/>
    <w:rsid w:val="64520FE0"/>
    <w:rsid w:val="6479266A"/>
    <w:rsid w:val="64A9350F"/>
    <w:rsid w:val="64B366E2"/>
    <w:rsid w:val="65492569"/>
    <w:rsid w:val="65557CA5"/>
    <w:rsid w:val="655D12CA"/>
    <w:rsid w:val="65682263"/>
    <w:rsid w:val="659809DA"/>
    <w:rsid w:val="65B226B9"/>
    <w:rsid w:val="65D140A0"/>
    <w:rsid w:val="6625349C"/>
    <w:rsid w:val="662C2289"/>
    <w:rsid w:val="663A3C6B"/>
    <w:rsid w:val="66545677"/>
    <w:rsid w:val="666A6E1C"/>
    <w:rsid w:val="666F1F90"/>
    <w:rsid w:val="66777A8A"/>
    <w:rsid w:val="669208E9"/>
    <w:rsid w:val="66987A01"/>
    <w:rsid w:val="66A01806"/>
    <w:rsid w:val="66A75535"/>
    <w:rsid w:val="66B15D36"/>
    <w:rsid w:val="66F62CAA"/>
    <w:rsid w:val="66FE5B9D"/>
    <w:rsid w:val="675A7D55"/>
    <w:rsid w:val="677156E3"/>
    <w:rsid w:val="679D4748"/>
    <w:rsid w:val="67FC7B55"/>
    <w:rsid w:val="684F5F16"/>
    <w:rsid w:val="68731A91"/>
    <w:rsid w:val="688132A9"/>
    <w:rsid w:val="68C90090"/>
    <w:rsid w:val="68D91F87"/>
    <w:rsid w:val="698B1202"/>
    <w:rsid w:val="69A66C45"/>
    <w:rsid w:val="69BC7A43"/>
    <w:rsid w:val="69F443AA"/>
    <w:rsid w:val="6A67051F"/>
    <w:rsid w:val="6A7F2E53"/>
    <w:rsid w:val="6AF41835"/>
    <w:rsid w:val="6B2D099F"/>
    <w:rsid w:val="6BCE3A9B"/>
    <w:rsid w:val="6BEC780E"/>
    <w:rsid w:val="6BF23DAF"/>
    <w:rsid w:val="6C535D97"/>
    <w:rsid w:val="6C941EFA"/>
    <w:rsid w:val="6CD01825"/>
    <w:rsid w:val="6CDC624D"/>
    <w:rsid w:val="6CFA310E"/>
    <w:rsid w:val="6D2B7B04"/>
    <w:rsid w:val="6D3568AF"/>
    <w:rsid w:val="6D6D5F42"/>
    <w:rsid w:val="6E0E2E3A"/>
    <w:rsid w:val="6E1414D6"/>
    <w:rsid w:val="6E3F1C16"/>
    <w:rsid w:val="6E4F6B81"/>
    <w:rsid w:val="6E5B1BEE"/>
    <w:rsid w:val="6E5F6F3B"/>
    <w:rsid w:val="6E6D1586"/>
    <w:rsid w:val="6EA43851"/>
    <w:rsid w:val="6EC210CB"/>
    <w:rsid w:val="6EF11418"/>
    <w:rsid w:val="6F4A7EAD"/>
    <w:rsid w:val="6F6876CD"/>
    <w:rsid w:val="6F7D66DE"/>
    <w:rsid w:val="6F964ED1"/>
    <w:rsid w:val="6FB77A50"/>
    <w:rsid w:val="6FBF1DC8"/>
    <w:rsid w:val="6FC23A4E"/>
    <w:rsid w:val="6FC52A7B"/>
    <w:rsid w:val="6FCF314C"/>
    <w:rsid w:val="70145294"/>
    <w:rsid w:val="704D045E"/>
    <w:rsid w:val="705952A7"/>
    <w:rsid w:val="70CB21EC"/>
    <w:rsid w:val="70D96218"/>
    <w:rsid w:val="70E639BB"/>
    <w:rsid w:val="712E7135"/>
    <w:rsid w:val="71445A4D"/>
    <w:rsid w:val="715531C8"/>
    <w:rsid w:val="715D2C01"/>
    <w:rsid w:val="71AE299D"/>
    <w:rsid w:val="71C71F19"/>
    <w:rsid w:val="721D0414"/>
    <w:rsid w:val="72233503"/>
    <w:rsid w:val="72683E3E"/>
    <w:rsid w:val="72D30ACC"/>
    <w:rsid w:val="734F69CB"/>
    <w:rsid w:val="73592AFE"/>
    <w:rsid w:val="736319B4"/>
    <w:rsid w:val="736A5A2F"/>
    <w:rsid w:val="736C1768"/>
    <w:rsid w:val="73AE7C81"/>
    <w:rsid w:val="73C57AD2"/>
    <w:rsid w:val="74024C7E"/>
    <w:rsid w:val="74081F06"/>
    <w:rsid w:val="742B6572"/>
    <w:rsid w:val="74632CFC"/>
    <w:rsid w:val="7478393B"/>
    <w:rsid w:val="74791731"/>
    <w:rsid w:val="74907406"/>
    <w:rsid w:val="74EC1A82"/>
    <w:rsid w:val="74F7126B"/>
    <w:rsid w:val="7505476A"/>
    <w:rsid w:val="75493605"/>
    <w:rsid w:val="756A57BF"/>
    <w:rsid w:val="75AB65E6"/>
    <w:rsid w:val="75AC412D"/>
    <w:rsid w:val="76386FDE"/>
    <w:rsid w:val="76620669"/>
    <w:rsid w:val="76741588"/>
    <w:rsid w:val="776B6E60"/>
    <w:rsid w:val="777631C0"/>
    <w:rsid w:val="779C70F6"/>
    <w:rsid w:val="77AA4B46"/>
    <w:rsid w:val="77E04E05"/>
    <w:rsid w:val="78335114"/>
    <w:rsid w:val="78702049"/>
    <w:rsid w:val="792E0B51"/>
    <w:rsid w:val="79795BDE"/>
    <w:rsid w:val="797A46AF"/>
    <w:rsid w:val="799A27B2"/>
    <w:rsid w:val="79F61C92"/>
    <w:rsid w:val="7A0337A0"/>
    <w:rsid w:val="7A51309F"/>
    <w:rsid w:val="7A7271BD"/>
    <w:rsid w:val="7A7A6913"/>
    <w:rsid w:val="7A9A2180"/>
    <w:rsid w:val="7AC443CB"/>
    <w:rsid w:val="7B2E05A5"/>
    <w:rsid w:val="7B3A08CF"/>
    <w:rsid w:val="7B3A13A4"/>
    <w:rsid w:val="7B577FE7"/>
    <w:rsid w:val="7BDF4930"/>
    <w:rsid w:val="7BFA27F9"/>
    <w:rsid w:val="7C74235A"/>
    <w:rsid w:val="7C7661B2"/>
    <w:rsid w:val="7C79667D"/>
    <w:rsid w:val="7CB50298"/>
    <w:rsid w:val="7CD642A3"/>
    <w:rsid w:val="7CFB03CF"/>
    <w:rsid w:val="7CFB4946"/>
    <w:rsid w:val="7D19569B"/>
    <w:rsid w:val="7D2649D1"/>
    <w:rsid w:val="7D7D23AC"/>
    <w:rsid w:val="7DB0412B"/>
    <w:rsid w:val="7E1E2482"/>
    <w:rsid w:val="7E4F2E3E"/>
    <w:rsid w:val="7E81720E"/>
    <w:rsid w:val="7E8E0452"/>
    <w:rsid w:val="7ED02063"/>
    <w:rsid w:val="7EDC23D2"/>
    <w:rsid w:val="7F474462"/>
    <w:rsid w:val="7F5573E6"/>
    <w:rsid w:val="7F9B5AD4"/>
    <w:rsid w:val="7FB23A98"/>
    <w:rsid w:val="7FD012FF"/>
    <w:rsid w:val="7FEC2A2B"/>
    <w:rsid w:val="7FF08D5C"/>
    <w:rsid w:val="ADEF16E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99" w:name="toc 3"/>
    <w:lsdException w:qFormat="1" w:unhideWhenUsed="0" w:uiPriority="99" w:name="toc 4"/>
    <w:lsdException w:qFormat="1" w:unhideWhenUsed="0" w:uiPriority="99" w:name="toc 5"/>
    <w:lsdException w:qFormat="1" w:unhideWhenUsed="0" w:uiPriority="99" w:name="toc 6"/>
    <w:lsdException w:qFormat="1" w:unhideWhenUsed="0" w:uiPriority="99" w:name="toc 7"/>
    <w:lsdException w:qFormat="1" w:unhideWhenUsed="0" w:uiPriority="99" w:name="toc 8"/>
    <w:lsdException w:qFormat="1" w:unhideWhenUsed="0" w:uiPriority="99" w:name="toc 9"/>
    <w:lsdException w:qFormat="1" w:unhideWhenUsed="0" w:uiPriority="99" w:semiHidden="0" w:name="Normal Indent"/>
    <w:lsdException w:uiPriority="99" w:name="footnote text"/>
    <w:lsdException w:qFormat="1" w:unhideWhenUsed="0"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0" w:semiHidden="0" w:name="table of authorities" w:locked="1"/>
    <w:lsdException w:uiPriority="99" w:name="macro"/>
    <w:lsdException w:uiPriority="99" w:name="toa heading"/>
    <w:lsdException w:uiPriority="0" w:semiHidden="0" w:name="List" w:locked="1"/>
    <w:lsdException w:uiPriority="0" w:semiHidden="0" w:name="List Bullet" w:locked="1"/>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0" w:semiHidden="0" w:name="List Continue 2" w:locked="1"/>
    <w:lsdException w:uiPriority="0" w:semiHidden="0" w:name="List Continue 3" w:locked="1"/>
    <w:lsdException w:uiPriority="0" w:semiHidden="0" w:name="List Continue 4" w:locked="1"/>
    <w:lsdException w:uiPriority="0" w:semiHidden="0" w:name="List Continue 5" w:locked="1"/>
    <w:lsdException w:uiPriority="99" w:name="Message Header"/>
    <w:lsdException w:qFormat="1" w:unhideWhenUsed="0" w:uiPriority="0" w:semiHidden="0" w:name="Subtitle" w:locked="1"/>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99" w:semiHidden="0" w:name="Strong"/>
    <w:lsdException w:qFormat="1" w:unhideWhenUsed="0" w:uiPriority="99" w:semiHidden="0" w:name="Emphasis"/>
    <w:lsdException w:qFormat="1" w:unhideWhenUsed="0" w:uiPriority="99" w:name="Document Map"/>
    <w:lsdException w:uiPriority="99" w:name="Plain Text"/>
    <w:lsdException w:uiPriority="99" w:name="E-mail Signature"/>
    <w:lsdException w:qFormat="1" w:unhideWhenUsed="0" w:uiPriority="99" w:semiHidden="0" w:name="Normal (Web)"/>
    <w:lsdException w:qFormat="1" w:unhideWhenUsed="0" w:uiPriority="99" w:semiHidden="0" w:name="HTML Acronym"/>
    <w:lsdException w:uiPriority="99" w:name="HTML Address"/>
    <w:lsdException w:qFormat="1" w:unhideWhenUsed="0" w:uiPriority="99" w:semiHidden="0" w:name="HTML Cite"/>
    <w:lsdException w:qFormat="1" w:unhideWhenUsed="0" w:uiPriority="99" w:semiHidden="0" w:name="HTML Code"/>
    <w:lsdException w:qFormat="1" w:unhideWhenUsed="0" w:uiPriority="99" w:semiHidden="0" w:name="HTML Definition"/>
    <w:lsdException w:qFormat="1" w:unhideWhenUsed="0" w:uiPriority="99" w:semiHidden="0" w:name="HTML Keyboard"/>
    <w:lsdException w:uiPriority="99" w:name="HTML Preformatted"/>
    <w:lsdException w:qFormat="1" w:unhideWhenUsed="0" w:uiPriority="99" w:semiHidden="0" w:name="HTML Sample"/>
    <w:lsdException w:qFormat="1" w:unhideWhenUsed="0" w:uiPriority="99" w:semiHidden="0" w:name="HTML Typewriter"/>
    <w:lsdException w:qFormat="1" w:unhideWhenUsed="0" w:uiPriority="99" w:semiHidden="0"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47"/>
    <w:qFormat/>
    <w:uiPriority w:val="0"/>
    <w:pPr>
      <w:keepNext/>
      <w:keepLines/>
      <w:spacing w:before="340" w:after="330" w:line="578" w:lineRule="auto"/>
      <w:jc w:val="center"/>
      <w:outlineLvl w:val="0"/>
    </w:pPr>
    <w:rPr>
      <w:b/>
      <w:bCs/>
      <w:kern w:val="44"/>
      <w:sz w:val="32"/>
      <w:szCs w:val="44"/>
    </w:rPr>
  </w:style>
  <w:style w:type="paragraph" w:styleId="4">
    <w:name w:val="heading 2"/>
    <w:basedOn w:val="1"/>
    <w:next w:val="1"/>
    <w:link w:val="48"/>
    <w:qFormat/>
    <w:uiPriority w:val="0"/>
    <w:pPr>
      <w:keepNext/>
      <w:keepLines/>
      <w:spacing w:before="260" w:after="260" w:line="416" w:lineRule="auto"/>
      <w:jc w:val="left"/>
      <w:outlineLvl w:val="1"/>
    </w:pPr>
    <w:rPr>
      <w:rFonts w:ascii="Arial" w:hAnsi="Arial"/>
      <w:b/>
      <w:bCs/>
      <w:sz w:val="30"/>
      <w:szCs w:val="32"/>
    </w:rPr>
  </w:style>
  <w:style w:type="paragraph" w:styleId="5">
    <w:name w:val="heading 3"/>
    <w:basedOn w:val="1"/>
    <w:next w:val="1"/>
    <w:link w:val="49"/>
    <w:qFormat/>
    <w:uiPriority w:val="99"/>
    <w:pPr>
      <w:keepNext/>
      <w:keepLines/>
      <w:spacing w:beforeLines="50" w:afterLines="50" w:line="360" w:lineRule="auto"/>
      <w:ind w:firstLine="562" w:firstLineChars="200"/>
      <w:outlineLvl w:val="2"/>
    </w:pPr>
    <w:rPr>
      <w:rFonts w:ascii="黑体" w:hAnsi="宋体" w:eastAsia="黑体"/>
      <w:b/>
      <w:kern w:val="0"/>
      <w:sz w:val="28"/>
      <w:szCs w:val="28"/>
    </w:rPr>
  </w:style>
  <w:style w:type="paragraph" w:styleId="6">
    <w:name w:val="heading 4"/>
    <w:basedOn w:val="1"/>
    <w:next w:val="1"/>
    <w:link w:val="50"/>
    <w:qFormat/>
    <w:uiPriority w:val="99"/>
    <w:pPr>
      <w:keepNext/>
      <w:keepLines/>
      <w:spacing w:before="280" w:after="290" w:line="376" w:lineRule="auto"/>
      <w:outlineLvl w:val="3"/>
    </w:pPr>
    <w:rPr>
      <w:rFonts w:ascii="Arial" w:hAnsi="Arial" w:eastAsia="黑体"/>
      <w:b/>
      <w:bCs/>
      <w:sz w:val="28"/>
      <w:szCs w:val="28"/>
    </w:rPr>
  </w:style>
  <w:style w:type="paragraph" w:styleId="7">
    <w:name w:val="heading 5"/>
    <w:basedOn w:val="1"/>
    <w:next w:val="1"/>
    <w:link w:val="51"/>
    <w:qFormat/>
    <w:uiPriority w:val="99"/>
    <w:pPr>
      <w:keepNext/>
      <w:keepLines/>
      <w:spacing w:before="280" w:after="290" w:line="376" w:lineRule="auto"/>
      <w:outlineLvl w:val="4"/>
    </w:pPr>
    <w:rPr>
      <w:b/>
      <w:bCs/>
      <w:sz w:val="28"/>
      <w:szCs w:val="28"/>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customStyle="1" w:styleId="2">
    <w:name w:val="TOC1"/>
    <w:basedOn w:val="1"/>
    <w:next w:val="1"/>
    <w:qFormat/>
    <w:locked/>
    <w:uiPriority w:val="0"/>
    <w:pPr>
      <w:spacing w:line="660" w:lineRule="exact"/>
      <w:ind w:firstLine="705"/>
      <w:textAlignment w:val="baseline"/>
    </w:pPr>
    <w:rPr>
      <w:rFonts w:ascii="仿宋_GB2312" w:eastAsia="仿宋_GB2312"/>
      <w:color w:val="000000"/>
      <w:sz w:val="36"/>
      <w:szCs w:val="36"/>
    </w:rPr>
  </w:style>
  <w:style w:type="paragraph" w:styleId="8">
    <w:name w:val="toc 7"/>
    <w:basedOn w:val="1"/>
    <w:next w:val="1"/>
    <w:semiHidden/>
    <w:qFormat/>
    <w:uiPriority w:val="99"/>
    <w:pPr>
      <w:ind w:left="1260"/>
      <w:jc w:val="left"/>
    </w:pPr>
    <w:rPr>
      <w:sz w:val="18"/>
      <w:szCs w:val="18"/>
    </w:rPr>
  </w:style>
  <w:style w:type="paragraph" w:styleId="9">
    <w:name w:val="Normal Indent"/>
    <w:basedOn w:val="1"/>
    <w:qFormat/>
    <w:uiPriority w:val="99"/>
    <w:pPr>
      <w:spacing w:line="360" w:lineRule="auto"/>
      <w:ind w:firstLine="600" w:firstLineChars="200"/>
    </w:pPr>
    <w:rPr>
      <w:rFonts w:eastAsia="仿宋_GB2312"/>
      <w:sz w:val="30"/>
    </w:rPr>
  </w:style>
  <w:style w:type="paragraph" w:styleId="10">
    <w:name w:val="Document Map"/>
    <w:basedOn w:val="1"/>
    <w:link w:val="132"/>
    <w:semiHidden/>
    <w:qFormat/>
    <w:uiPriority w:val="99"/>
    <w:pPr>
      <w:shd w:val="clear" w:color="auto" w:fill="000080"/>
    </w:pPr>
  </w:style>
  <w:style w:type="paragraph" w:styleId="11">
    <w:name w:val="annotation text"/>
    <w:basedOn w:val="1"/>
    <w:link w:val="134"/>
    <w:semiHidden/>
    <w:qFormat/>
    <w:uiPriority w:val="99"/>
    <w:pPr>
      <w:jc w:val="left"/>
    </w:pPr>
  </w:style>
  <w:style w:type="paragraph" w:styleId="12">
    <w:name w:val="Body Text"/>
    <w:basedOn w:val="1"/>
    <w:link w:val="143"/>
    <w:qFormat/>
    <w:uiPriority w:val="99"/>
    <w:pPr>
      <w:spacing w:after="120"/>
    </w:pPr>
  </w:style>
  <w:style w:type="paragraph" w:styleId="13">
    <w:name w:val="Body Text Indent"/>
    <w:basedOn w:val="1"/>
    <w:link w:val="149"/>
    <w:qFormat/>
    <w:uiPriority w:val="99"/>
    <w:pPr>
      <w:ind w:firstLine="560" w:firstLineChars="200"/>
    </w:pPr>
    <w:rPr>
      <w:rFonts w:ascii="宋体" w:hAnsi="Courier New" w:cs="Courier New"/>
      <w:sz w:val="28"/>
      <w:szCs w:val="21"/>
    </w:rPr>
  </w:style>
  <w:style w:type="paragraph" w:styleId="14">
    <w:name w:val="toc 5"/>
    <w:basedOn w:val="1"/>
    <w:next w:val="1"/>
    <w:semiHidden/>
    <w:qFormat/>
    <w:uiPriority w:val="99"/>
    <w:pPr>
      <w:ind w:left="840"/>
      <w:jc w:val="left"/>
    </w:pPr>
    <w:rPr>
      <w:sz w:val="18"/>
      <w:szCs w:val="18"/>
    </w:rPr>
  </w:style>
  <w:style w:type="paragraph" w:styleId="15">
    <w:name w:val="toc 3"/>
    <w:basedOn w:val="1"/>
    <w:next w:val="1"/>
    <w:semiHidden/>
    <w:qFormat/>
    <w:uiPriority w:val="99"/>
    <w:pPr>
      <w:ind w:left="420"/>
      <w:jc w:val="left"/>
    </w:pPr>
    <w:rPr>
      <w:i/>
      <w:iCs/>
      <w:sz w:val="20"/>
      <w:szCs w:val="20"/>
    </w:rPr>
  </w:style>
  <w:style w:type="paragraph" w:styleId="16">
    <w:name w:val="toc 8"/>
    <w:basedOn w:val="1"/>
    <w:next w:val="1"/>
    <w:semiHidden/>
    <w:qFormat/>
    <w:uiPriority w:val="99"/>
    <w:pPr>
      <w:ind w:left="1470"/>
      <w:jc w:val="left"/>
    </w:pPr>
    <w:rPr>
      <w:sz w:val="18"/>
      <w:szCs w:val="18"/>
    </w:rPr>
  </w:style>
  <w:style w:type="paragraph" w:styleId="17">
    <w:name w:val="Date"/>
    <w:basedOn w:val="1"/>
    <w:next w:val="1"/>
    <w:link w:val="139"/>
    <w:qFormat/>
    <w:uiPriority w:val="99"/>
    <w:pPr>
      <w:ind w:left="100" w:leftChars="2500"/>
    </w:pPr>
  </w:style>
  <w:style w:type="paragraph" w:styleId="18">
    <w:name w:val="Body Text Indent 2"/>
    <w:basedOn w:val="1"/>
    <w:link w:val="141"/>
    <w:qFormat/>
    <w:uiPriority w:val="99"/>
    <w:pPr>
      <w:spacing w:after="120" w:line="480" w:lineRule="auto"/>
      <w:ind w:left="420" w:leftChars="200"/>
    </w:pPr>
    <w:rPr>
      <w:szCs w:val="20"/>
    </w:rPr>
  </w:style>
  <w:style w:type="paragraph" w:styleId="19">
    <w:name w:val="Balloon Text"/>
    <w:basedOn w:val="1"/>
    <w:link w:val="145"/>
    <w:semiHidden/>
    <w:qFormat/>
    <w:uiPriority w:val="99"/>
    <w:rPr>
      <w:sz w:val="18"/>
      <w:szCs w:val="18"/>
    </w:rPr>
  </w:style>
  <w:style w:type="paragraph" w:styleId="20">
    <w:name w:val="footer"/>
    <w:basedOn w:val="1"/>
    <w:link w:val="137"/>
    <w:qFormat/>
    <w:uiPriority w:val="99"/>
    <w:pPr>
      <w:tabs>
        <w:tab w:val="center" w:pos="4153"/>
        <w:tab w:val="right" w:pos="8306"/>
      </w:tabs>
      <w:snapToGrid w:val="0"/>
      <w:jc w:val="left"/>
    </w:pPr>
    <w:rPr>
      <w:sz w:val="18"/>
      <w:szCs w:val="18"/>
    </w:rPr>
  </w:style>
  <w:style w:type="paragraph" w:styleId="21">
    <w:name w:val="header"/>
    <w:basedOn w:val="1"/>
    <w:link w:val="144"/>
    <w:qFormat/>
    <w:uiPriority w:val="99"/>
    <w:pPr>
      <w:pBdr>
        <w:bottom w:val="single" w:color="auto" w:sz="6" w:space="1"/>
      </w:pBdr>
      <w:tabs>
        <w:tab w:val="center" w:pos="4153"/>
        <w:tab w:val="right" w:pos="8306"/>
      </w:tabs>
      <w:snapToGrid w:val="0"/>
      <w:jc w:val="center"/>
    </w:pPr>
    <w:rPr>
      <w:sz w:val="18"/>
      <w:szCs w:val="18"/>
    </w:rPr>
  </w:style>
  <w:style w:type="paragraph" w:styleId="22">
    <w:name w:val="toc 1"/>
    <w:basedOn w:val="1"/>
    <w:next w:val="1"/>
    <w:qFormat/>
    <w:uiPriority w:val="39"/>
    <w:pPr>
      <w:spacing w:before="120" w:after="120"/>
      <w:jc w:val="left"/>
    </w:pPr>
    <w:rPr>
      <w:b/>
      <w:bCs/>
      <w:caps/>
      <w:sz w:val="20"/>
      <w:szCs w:val="20"/>
    </w:rPr>
  </w:style>
  <w:style w:type="paragraph" w:styleId="23">
    <w:name w:val="toc 4"/>
    <w:basedOn w:val="1"/>
    <w:next w:val="1"/>
    <w:semiHidden/>
    <w:qFormat/>
    <w:uiPriority w:val="99"/>
    <w:pPr>
      <w:ind w:left="630"/>
      <w:jc w:val="left"/>
    </w:pPr>
    <w:rPr>
      <w:sz w:val="18"/>
      <w:szCs w:val="18"/>
    </w:rPr>
  </w:style>
  <w:style w:type="paragraph" w:styleId="24">
    <w:name w:val="toc 6"/>
    <w:basedOn w:val="1"/>
    <w:next w:val="1"/>
    <w:semiHidden/>
    <w:qFormat/>
    <w:uiPriority w:val="99"/>
    <w:pPr>
      <w:ind w:left="1050"/>
      <w:jc w:val="left"/>
    </w:pPr>
    <w:rPr>
      <w:sz w:val="18"/>
      <w:szCs w:val="18"/>
    </w:rPr>
  </w:style>
  <w:style w:type="paragraph" w:styleId="25">
    <w:name w:val="toc 2"/>
    <w:basedOn w:val="1"/>
    <w:next w:val="1"/>
    <w:qFormat/>
    <w:uiPriority w:val="39"/>
    <w:pPr>
      <w:ind w:left="210"/>
      <w:jc w:val="left"/>
    </w:pPr>
    <w:rPr>
      <w:smallCaps/>
      <w:sz w:val="20"/>
      <w:szCs w:val="20"/>
    </w:rPr>
  </w:style>
  <w:style w:type="paragraph" w:styleId="26">
    <w:name w:val="toc 9"/>
    <w:basedOn w:val="1"/>
    <w:next w:val="1"/>
    <w:semiHidden/>
    <w:qFormat/>
    <w:uiPriority w:val="99"/>
    <w:pPr>
      <w:ind w:left="1680"/>
      <w:jc w:val="left"/>
    </w:pPr>
    <w:rPr>
      <w:sz w:val="18"/>
      <w:szCs w:val="18"/>
    </w:rPr>
  </w:style>
  <w:style w:type="paragraph" w:styleId="27">
    <w:name w:val="Normal (Web)"/>
    <w:basedOn w:val="1"/>
    <w:qFormat/>
    <w:uiPriority w:val="99"/>
    <w:pPr>
      <w:jc w:val="left"/>
    </w:pPr>
    <w:rPr>
      <w:kern w:val="0"/>
      <w:sz w:val="24"/>
    </w:rPr>
  </w:style>
  <w:style w:type="paragraph" w:styleId="28">
    <w:name w:val="Title"/>
    <w:basedOn w:val="1"/>
    <w:next w:val="1"/>
    <w:link w:val="153"/>
    <w:qFormat/>
    <w:uiPriority w:val="99"/>
    <w:pPr>
      <w:spacing w:before="240" w:after="60"/>
      <w:jc w:val="center"/>
      <w:outlineLvl w:val="0"/>
    </w:pPr>
    <w:rPr>
      <w:rFonts w:ascii="Cambria" w:hAnsi="Cambria"/>
      <w:b/>
      <w:bCs/>
      <w:sz w:val="32"/>
      <w:szCs w:val="32"/>
    </w:rPr>
  </w:style>
  <w:style w:type="paragraph" w:styleId="29">
    <w:name w:val="annotation subject"/>
    <w:basedOn w:val="11"/>
    <w:next w:val="11"/>
    <w:link w:val="151"/>
    <w:semiHidden/>
    <w:qFormat/>
    <w:uiPriority w:val="99"/>
    <w:rPr>
      <w:b/>
      <w:bCs/>
    </w:rPr>
  </w:style>
  <w:style w:type="table" w:styleId="31">
    <w:name w:val="Table Grid"/>
    <w:basedOn w:val="30"/>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Strong"/>
    <w:qFormat/>
    <w:uiPriority w:val="99"/>
    <w:rPr>
      <w:rFonts w:ascii="Times New Roman" w:hAnsi="Times New Roman" w:eastAsia="宋体" w:cs="Times New Roman"/>
      <w:color w:val="auto"/>
      <w:sz w:val="21"/>
    </w:rPr>
  </w:style>
  <w:style w:type="character" w:styleId="34">
    <w:name w:val="page number"/>
    <w:basedOn w:val="32"/>
    <w:qFormat/>
    <w:uiPriority w:val="99"/>
    <w:rPr>
      <w:rFonts w:cs="Times New Roman"/>
    </w:rPr>
  </w:style>
  <w:style w:type="character" w:styleId="35">
    <w:name w:val="FollowedHyperlink"/>
    <w:qFormat/>
    <w:uiPriority w:val="99"/>
    <w:rPr>
      <w:rFonts w:ascii="Times New Roman" w:hAnsi="Times New Roman" w:eastAsia="宋体" w:cs="Times New Roman"/>
      <w:color w:val="000000"/>
      <w:sz w:val="21"/>
      <w:u w:val="none"/>
    </w:rPr>
  </w:style>
  <w:style w:type="character" w:styleId="36">
    <w:name w:val="Emphasis"/>
    <w:qFormat/>
    <w:uiPriority w:val="99"/>
    <w:rPr>
      <w:rFonts w:ascii="Times New Roman" w:hAnsi="Times New Roman" w:eastAsia="宋体" w:cs="Times New Roman"/>
      <w:color w:val="auto"/>
      <w:sz w:val="21"/>
    </w:rPr>
  </w:style>
  <w:style w:type="character" w:styleId="37">
    <w:name w:val="HTML Definition"/>
    <w:qFormat/>
    <w:uiPriority w:val="99"/>
    <w:rPr>
      <w:rFonts w:ascii="Times New Roman" w:hAnsi="Times New Roman" w:eastAsia="宋体" w:cs="Times New Roman"/>
      <w:color w:val="FFFFFF"/>
      <w:sz w:val="18"/>
      <w:bdr w:val="single" w:color="52A3F5" w:sz="6" w:space="0"/>
      <w:shd w:val="clear" w:color="auto" w:fill="52A3F5"/>
    </w:rPr>
  </w:style>
  <w:style w:type="character" w:styleId="38">
    <w:name w:val="HTML Typewriter"/>
    <w:qFormat/>
    <w:uiPriority w:val="99"/>
    <w:rPr>
      <w:rFonts w:ascii="Courier New" w:hAnsi="Courier New" w:eastAsia="宋体" w:cs="Times New Roman"/>
      <w:color w:val="auto"/>
      <w:sz w:val="24"/>
    </w:rPr>
  </w:style>
  <w:style w:type="character" w:styleId="39">
    <w:name w:val="HTML Acronym"/>
    <w:qFormat/>
    <w:uiPriority w:val="99"/>
    <w:rPr>
      <w:rFonts w:cs="Times New Roman"/>
    </w:rPr>
  </w:style>
  <w:style w:type="character" w:styleId="40">
    <w:name w:val="HTML Variable"/>
    <w:qFormat/>
    <w:uiPriority w:val="99"/>
    <w:rPr>
      <w:rFonts w:ascii="Times New Roman" w:hAnsi="Times New Roman" w:eastAsia="宋体" w:cs="Times New Roman"/>
      <w:color w:val="auto"/>
      <w:sz w:val="21"/>
    </w:rPr>
  </w:style>
  <w:style w:type="character" w:styleId="41">
    <w:name w:val="Hyperlink"/>
    <w:qFormat/>
    <w:uiPriority w:val="99"/>
    <w:rPr>
      <w:rFonts w:ascii="Times New Roman" w:hAnsi="Times New Roman" w:eastAsia="宋体" w:cs="Times New Roman"/>
      <w:color w:val="000000"/>
      <w:sz w:val="21"/>
      <w:u w:val="none"/>
    </w:rPr>
  </w:style>
  <w:style w:type="character" w:styleId="42">
    <w:name w:val="HTML Code"/>
    <w:qFormat/>
    <w:uiPriority w:val="99"/>
    <w:rPr>
      <w:rFonts w:ascii="monospace" w:hAnsi="monospace" w:eastAsia="Times New Roman" w:cs="Times New Roman"/>
      <w:color w:val="auto"/>
      <w:sz w:val="21"/>
    </w:rPr>
  </w:style>
  <w:style w:type="character" w:styleId="43">
    <w:name w:val="annotation reference"/>
    <w:semiHidden/>
    <w:qFormat/>
    <w:uiPriority w:val="99"/>
    <w:rPr>
      <w:rFonts w:cs="Times New Roman"/>
      <w:sz w:val="21"/>
    </w:rPr>
  </w:style>
  <w:style w:type="character" w:styleId="44">
    <w:name w:val="HTML Cite"/>
    <w:qFormat/>
    <w:uiPriority w:val="99"/>
    <w:rPr>
      <w:rFonts w:ascii="Times New Roman" w:hAnsi="Times New Roman" w:eastAsia="宋体" w:cs="Times New Roman"/>
      <w:color w:val="999999"/>
      <w:sz w:val="19"/>
    </w:rPr>
  </w:style>
  <w:style w:type="character" w:styleId="45">
    <w:name w:val="HTML Keyboard"/>
    <w:qFormat/>
    <w:uiPriority w:val="99"/>
    <w:rPr>
      <w:rFonts w:ascii="monospace" w:hAnsi="monospace" w:eastAsia="Times New Roman" w:cs="Times New Roman"/>
      <w:color w:val="auto"/>
      <w:sz w:val="21"/>
    </w:rPr>
  </w:style>
  <w:style w:type="character" w:styleId="46">
    <w:name w:val="HTML Sample"/>
    <w:qFormat/>
    <w:uiPriority w:val="99"/>
    <w:rPr>
      <w:rFonts w:ascii="monospace" w:hAnsi="monospace" w:eastAsia="Times New Roman" w:cs="Times New Roman"/>
      <w:color w:val="auto"/>
      <w:sz w:val="21"/>
    </w:rPr>
  </w:style>
  <w:style w:type="character" w:customStyle="1" w:styleId="47">
    <w:name w:val="标题 1 字符"/>
    <w:link w:val="3"/>
    <w:qFormat/>
    <w:uiPriority w:val="0"/>
    <w:rPr>
      <w:b/>
      <w:bCs/>
      <w:kern w:val="44"/>
      <w:sz w:val="44"/>
      <w:szCs w:val="44"/>
    </w:rPr>
  </w:style>
  <w:style w:type="character" w:customStyle="1" w:styleId="48">
    <w:name w:val="标题 2 字符"/>
    <w:link w:val="4"/>
    <w:qFormat/>
    <w:locked/>
    <w:uiPriority w:val="0"/>
    <w:rPr>
      <w:rFonts w:ascii="Arial" w:hAnsi="Arial" w:eastAsia="宋体"/>
      <w:b/>
      <w:kern w:val="2"/>
      <w:sz w:val="32"/>
    </w:rPr>
  </w:style>
  <w:style w:type="character" w:customStyle="1" w:styleId="49">
    <w:name w:val="标题 3 字符"/>
    <w:link w:val="5"/>
    <w:qFormat/>
    <w:locked/>
    <w:uiPriority w:val="99"/>
    <w:rPr>
      <w:rFonts w:ascii="黑体" w:hAnsi="宋体" w:eastAsia="黑体"/>
      <w:b/>
      <w:sz w:val="28"/>
      <w:lang w:val="en-US" w:eastAsia="zh-CN"/>
    </w:rPr>
  </w:style>
  <w:style w:type="character" w:customStyle="1" w:styleId="50">
    <w:name w:val="标题 4 字符"/>
    <w:link w:val="6"/>
    <w:semiHidden/>
    <w:qFormat/>
    <w:uiPriority w:val="9"/>
    <w:rPr>
      <w:rFonts w:ascii="Cambria" w:hAnsi="Cambria" w:eastAsia="宋体" w:cs="Times New Roman"/>
      <w:b/>
      <w:bCs/>
      <w:sz w:val="28"/>
      <w:szCs w:val="28"/>
    </w:rPr>
  </w:style>
  <w:style w:type="character" w:customStyle="1" w:styleId="51">
    <w:name w:val="标题 5 字符"/>
    <w:link w:val="7"/>
    <w:semiHidden/>
    <w:qFormat/>
    <w:uiPriority w:val="9"/>
    <w:rPr>
      <w:b/>
      <w:bCs/>
      <w:sz w:val="28"/>
      <w:szCs w:val="28"/>
    </w:rPr>
  </w:style>
  <w:style w:type="character" w:customStyle="1" w:styleId="52">
    <w:name w:val="woman"/>
    <w:qFormat/>
    <w:uiPriority w:val="99"/>
    <w:rPr>
      <w:rFonts w:cs="Times New Roman"/>
    </w:rPr>
  </w:style>
  <w:style w:type="character" w:customStyle="1" w:styleId="53">
    <w:name w:val="r_flat"/>
    <w:qFormat/>
    <w:uiPriority w:val="99"/>
    <w:rPr>
      <w:rFonts w:cs="Times New Roman"/>
    </w:rPr>
  </w:style>
  <w:style w:type="character" w:customStyle="1" w:styleId="54">
    <w:name w:val="before10"/>
    <w:qFormat/>
    <w:uiPriority w:val="99"/>
    <w:rPr>
      <w:rFonts w:cs="Times New Roman"/>
    </w:rPr>
  </w:style>
  <w:style w:type="character" w:customStyle="1" w:styleId="55">
    <w:name w:val="bds_nopic1"/>
    <w:qFormat/>
    <w:uiPriority w:val="99"/>
    <w:rPr>
      <w:rFonts w:cs="Times New Roman"/>
    </w:rPr>
  </w:style>
  <w:style w:type="character" w:customStyle="1" w:styleId="56">
    <w:name w:val="before1"/>
    <w:qFormat/>
    <w:uiPriority w:val="99"/>
    <w:rPr>
      <w:rFonts w:cs="Times New Roman"/>
    </w:rPr>
  </w:style>
  <w:style w:type="character" w:customStyle="1" w:styleId="57">
    <w:name w:val="menu_other"/>
    <w:qFormat/>
    <w:uiPriority w:val="99"/>
    <w:rPr>
      <w:rFonts w:cs="Times New Roman"/>
    </w:rPr>
  </w:style>
  <w:style w:type="character" w:customStyle="1" w:styleId="58">
    <w:name w:val="o2"/>
    <w:qFormat/>
    <w:uiPriority w:val="99"/>
    <w:rPr>
      <w:rFonts w:ascii="Times New Roman" w:hAnsi="Times New Roman" w:eastAsia="宋体"/>
      <w:color w:val="auto"/>
      <w:sz w:val="2"/>
    </w:rPr>
  </w:style>
  <w:style w:type="character" w:customStyle="1" w:styleId="59">
    <w:name w:val="over"/>
    <w:qFormat/>
    <w:uiPriority w:val="99"/>
    <w:rPr>
      <w:rFonts w:cs="Times New Roman"/>
    </w:rPr>
  </w:style>
  <w:style w:type="character" w:customStyle="1" w:styleId="60">
    <w:name w:val="p_down"/>
    <w:qFormat/>
    <w:uiPriority w:val="99"/>
    <w:rPr>
      <w:rFonts w:ascii="Times New Roman" w:hAnsi="Times New Roman" w:eastAsia="宋体"/>
      <w:color w:val="069717"/>
      <w:sz w:val="21"/>
    </w:rPr>
  </w:style>
  <w:style w:type="character" w:customStyle="1" w:styleId="61">
    <w:name w:val="o4"/>
    <w:qFormat/>
    <w:uiPriority w:val="99"/>
    <w:rPr>
      <w:rFonts w:ascii="Times New Roman" w:hAnsi="Times New Roman" w:eastAsia="宋体"/>
      <w:color w:val="auto"/>
      <w:sz w:val="2"/>
    </w:rPr>
  </w:style>
  <w:style w:type="character" w:customStyle="1" w:styleId="62">
    <w:name w:val="price"/>
    <w:qFormat/>
    <w:uiPriority w:val="99"/>
    <w:rPr>
      <w:rFonts w:ascii="Times New Roman" w:hAnsi="Times New Roman" w:eastAsia="宋体"/>
      <w:color w:val="000000"/>
      <w:sz w:val="21"/>
    </w:rPr>
  </w:style>
  <w:style w:type="character" w:customStyle="1" w:styleId="63">
    <w:name w:val="price1"/>
    <w:qFormat/>
    <w:uiPriority w:val="99"/>
    <w:rPr>
      <w:rFonts w:cs="Times New Roman"/>
    </w:rPr>
  </w:style>
  <w:style w:type="character" w:customStyle="1" w:styleId="64">
    <w:name w:val="closed_over"/>
    <w:qFormat/>
    <w:uiPriority w:val="99"/>
    <w:rPr>
      <w:rFonts w:cs="Times New Roman"/>
    </w:rPr>
  </w:style>
  <w:style w:type="character" w:customStyle="1" w:styleId="65">
    <w:name w:val="before8"/>
    <w:qFormat/>
    <w:uiPriority w:val="99"/>
    <w:rPr>
      <w:rFonts w:cs="Times New Roman"/>
    </w:rPr>
  </w:style>
  <w:style w:type="character" w:customStyle="1" w:styleId="66">
    <w:name w:val="before2"/>
    <w:qFormat/>
    <w:uiPriority w:val="99"/>
    <w:rPr>
      <w:rFonts w:cs="Times New Roman"/>
    </w:rPr>
  </w:style>
  <w:style w:type="character" w:customStyle="1" w:styleId="67">
    <w:name w:val="before4"/>
    <w:qFormat/>
    <w:uiPriority w:val="99"/>
    <w:rPr>
      <w:rFonts w:cs="Times New Roman"/>
    </w:rPr>
  </w:style>
  <w:style w:type="character" w:customStyle="1" w:styleId="68">
    <w:name w:val="p_flat1"/>
    <w:qFormat/>
    <w:uiPriority w:val="99"/>
    <w:rPr>
      <w:rFonts w:ascii="Times New Roman" w:hAnsi="Times New Roman" w:eastAsia="宋体"/>
      <w:color w:val="000000"/>
      <w:sz w:val="21"/>
    </w:rPr>
  </w:style>
  <w:style w:type="character" w:customStyle="1" w:styleId="69">
    <w:name w:val="photo_next_no"/>
    <w:qFormat/>
    <w:uiPriority w:val="99"/>
    <w:rPr>
      <w:rFonts w:cs="Times New Roman"/>
    </w:rPr>
  </w:style>
  <w:style w:type="character" w:customStyle="1" w:styleId="70">
    <w:name w:val="fontstrikethrough"/>
    <w:qFormat/>
    <w:uiPriority w:val="99"/>
    <w:rPr>
      <w:rFonts w:ascii="Times New Roman" w:hAnsi="Times New Roman" w:eastAsia="宋体"/>
      <w:strike/>
      <w:color w:val="auto"/>
      <w:sz w:val="21"/>
    </w:rPr>
  </w:style>
  <w:style w:type="character" w:customStyle="1" w:styleId="71">
    <w:name w:val="before11"/>
    <w:qFormat/>
    <w:uiPriority w:val="99"/>
    <w:rPr>
      <w:rFonts w:cs="Times New Roman"/>
    </w:rPr>
  </w:style>
  <w:style w:type="character" w:customStyle="1" w:styleId="72">
    <w:name w:val="bds_nopic2"/>
    <w:qFormat/>
    <w:uiPriority w:val="99"/>
    <w:rPr>
      <w:rFonts w:cs="Times New Roman"/>
    </w:rPr>
  </w:style>
  <w:style w:type="character" w:customStyle="1" w:styleId="73">
    <w:name w:val="menu_data"/>
    <w:qFormat/>
    <w:uiPriority w:val="99"/>
    <w:rPr>
      <w:rFonts w:cs="Times New Roman"/>
    </w:rPr>
  </w:style>
  <w:style w:type="character" w:customStyle="1" w:styleId="74">
    <w:name w:val="font12"/>
    <w:qFormat/>
    <w:uiPriority w:val="99"/>
    <w:rPr>
      <w:rFonts w:cs="Times New Roman"/>
    </w:rPr>
  </w:style>
  <w:style w:type="character" w:customStyle="1" w:styleId="75">
    <w:name w:val="r_up1"/>
    <w:qFormat/>
    <w:uiPriority w:val="99"/>
    <w:rPr>
      <w:rFonts w:ascii="Times New Roman" w:hAnsi="Times New Roman" w:eastAsia="宋体"/>
      <w:color w:val="E60012"/>
      <w:sz w:val="21"/>
    </w:rPr>
  </w:style>
  <w:style w:type="character" w:customStyle="1" w:styleId="76">
    <w:name w:val="o3"/>
    <w:qFormat/>
    <w:uiPriority w:val="99"/>
    <w:rPr>
      <w:rFonts w:ascii="Times New Roman" w:hAnsi="Times New Roman" w:eastAsia="宋体"/>
      <w:color w:val="auto"/>
      <w:sz w:val="2"/>
    </w:rPr>
  </w:style>
  <w:style w:type="character" w:customStyle="1" w:styleId="77">
    <w:name w:val="before6"/>
    <w:qFormat/>
    <w:uiPriority w:val="99"/>
    <w:rPr>
      <w:rFonts w:cs="Times New Roman"/>
    </w:rPr>
  </w:style>
  <w:style w:type="character" w:customStyle="1" w:styleId="78">
    <w:name w:val="bds_more1"/>
    <w:qFormat/>
    <w:uiPriority w:val="99"/>
    <w:rPr>
      <w:rFonts w:cs="Times New Roman"/>
    </w:rPr>
  </w:style>
  <w:style w:type="character" w:customStyle="1" w:styleId="79">
    <w:name w:val="menu3"/>
    <w:qFormat/>
    <w:uiPriority w:val="99"/>
    <w:rPr>
      <w:rFonts w:cs="Times New Roman"/>
    </w:rPr>
  </w:style>
  <w:style w:type="character" w:customStyle="1" w:styleId="80">
    <w:name w:val="prop-span"/>
    <w:qFormat/>
    <w:uiPriority w:val="99"/>
    <w:rPr>
      <w:rFonts w:cs="Times New Roman"/>
    </w:rPr>
  </w:style>
  <w:style w:type="character" w:customStyle="1" w:styleId="81">
    <w:name w:val="r_flat1"/>
    <w:qFormat/>
    <w:uiPriority w:val="99"/>
    <w:rPr>
      <w:rFonts w:ascii="Times New Roman" w:hAnsi="Times New Roman" w:eastAsia="宋体"/>
      <w:color w:val="000000"/>
      <w:sz w:val="21"/>
    </w:rPr>
  </w:style>
  <w:style w:type="character" w:customStyle="1" w:styleId="82">
    <w:name w:val="tjjd_cs2"/>
    <w:qFormat/>
    <w:uiPriority w:val="99"/>
    <w:rPr>
      <w:rFonts w:cs="Times New Roman"/>
    </w:rPr>
  </w:style>
  <w:style w:type="character" w:customStyle="1" w:styleId="83">
    <w:name w:val="before7"/>
    <w:qFormat/>
    <w:uiPriority w:val="99"/>
    <w:rPr>
      <w:rFonts w:cs="Times New Roman"/>
    </w:rPr>
  </w:style>
  <w:style w:type="character" w:customStyle="1" w:styleId="84">
    <w:name w:val="menu_news"/>
    <w:qFormat/>
    <w:uiPriority w:val="99"/>
    <w:rPr>
      <w:rFonts w:cs="Times New Roman"/>
    </w:rPr>
  </w:style>
  <w:style w:type="character" w:customStyle="1" w:styleId="85">
    <w:name w:val="before9"/>
    <w:qFormat/>
    <w:uiPriority w:val="99"/>
    <w:rPr>
      <w:rFonts w:cs="Times New Roman"/>
    </w:rPr>
  </w:style>
  <w:style w:type="character" w:customStyle="1" w:styleId="86">
    <w:name w:val="fontborder"/>
    <w:qFormat/>
    <w:uiPriority w:val="99"/>
    <w:rPr>
      <w:rFonts w:ascii="Times New Roman" w:hAnsi="Times New Roman" w:eastAsia="宋体"/>
      <w:color w:val="auto"/>
      <w:sz w:val="21"/>
      <w:bdr w:val="single" w:color="000000" w:sz="6" w:space="0"/>
    </w:rPr>
  </w:style>
  <w:style w:type="character" w:customStyle="1" w:styleId="87">
    <w:name w:val="bds_more2"/>
    <w:qFormat/>
    <w:uiPriority w:val="99"/>
    <w:rPr>
      <w:rFonts w:cs="Times New Roman"/>
    </w:rPr>
  </w:style>
  <w:style w:type="character" w:customStyle="1" w:styleId="88">
    <w:name w:val="photo_next"/>
    <w:qFormat/>
    <w:uiPriority w:val="99"/>
    <w:rPr>
      <w:rFonts w:cs="Times New Roman"/>
    </w:rPr>
  </w:style>
  <w:style w:type="character" w:customStyle="1" w:styleId="89">
    <w:name w:val="before14"/>
    <w:qFormat/>
    <w:uiPriority w:val="99"/>
    <w:rPr>
      <w:rFonts w:cs="Times New Roman"/>
    </w:rPr>
  </w:style>
  <w:style w:type="character" w:customStyle="1" w:styleId="90">
    <w:name w:val="r_up"/>
    <w:qFormat/>
    <w:uiPriority w:val="99"/>
    <w:rPr>
      <w:rFonts w:ascii="Times New Roman" w:hAnsi="Times New Roman" w:eastAsia="宋体"/>
      <w:color w:val="E60012"/>
      <w:sz w:val="21"/>
    </w:rPr>
  </w:style>
  <w:style w:type="character" w:customStyle="1" w:styleId="91">
    <w:name w:val="o1"/>
    <w:qFormat/>
    <w:uiPriority w:val="99"/>
    <w:rPr>
      <w:rFonts w:ascii="Times New Roman" w:hAnsi="Times New Roman" w:eastAsia="宋体"/>
      <w:color w:val="auto"/>
      <w:sz w:val="2"/>
    </w:rPr>
  </w:style>
  <w:style w:type="character" w:customStyle="1" w:styleId="92">
    <w:name w:val="before13"/>
    <w:qFormat/>
    <w:uiPriority w:val="99"/>
    <w:rPr>
      <w:rFonts w:cs="Times New Roman"/>
    </w:rPr>
  </w:style>
  <w:style w:type="character" w:customStyle="1" w:styleId="93">
    <w:name w:val="p_up"/>
    <w:qFormat/>
    <w:uiPriority w:val="99"/>
    <w:rPr>
      <w:rFonts w:ascii="Times New Roman" w:hAnsi="Times New Roman" w:eastAsia="宋体"/>
      <w:color w:val="E60012"/>
      <w:sz w:val="21"/>
    </w:rPr>
  </w:style>
  <w:style w:type="character" w:customStyle="1" w:styleId="94">
    <w:name w:val="roll_up_over"/>
    <w:qFormat/>
    <w:uiPriority w:val="99"/>
    <w:rPr>
      <w:rFonts w:cs="Times New Roman"/>
    </w:rPr>
  </w:style>
  <w:style w:type="character" w:customStyle="1" w:styleId="95">
    <w:name w:val="p_up1"/>
    <w:qFormat/>
    <w:uiPriority w:val="99"/>
    <w:rPr>
      <w:rFonts w:ascii="Times New Roman" w:hAnsi="Times New Roman" w:eastAsia="宋体"/>
      <w:color w:val="E60012"/>
      <w:sz w:val="21"/>
    </w:rPr>
  </w:style>
  <w:style w:type="character" w:customStyle="1" w:styleId="96">
    <w:name w:val="ms_txt"/>
    <w:qFormat/>
    <w:uiPriority w:val="99"/>
    <w:rPr>
      <w:rFonts w:cs="Times New Roman"/>
    </w:rPr>
  </w:style>
  <w:style w:type="character" w:customStyle="1" w:styleId="97">
    <w:name w:val="样式10 Char"/>
    <w:link w:val="98"/>
    <w:qFormat/>
    <w:locked/>
    <w:uiPriority w:val="99"/>
    <w:rPr>
      <w:rFonts w:ascii="Times New Roman" w:hAnsi="华文仿宋" w:eastAsia="宋体"/>
      <w:color w:val="auto"/>
      <w:sz w:val="30"/>
    </w:rPr>
  </w:style>
  <w:style w:type="paragraph" w:customStyle="1" w:styleId="98">
    <w:name w:val="样式10"/>
    <w:basedOn w:val="1"/>
    <w:link w:val="97"/>
    <w:qFormat/>
    <w:uiPriority w:val="99"/>
    <w:pPr>
      <w:snapToGrid w:val="0"/>
      <w:spacing w:line="360" w:lineRule="auto"/>
      <w:ind w:firstLine="600"/>
    </w:pPr>
    <w:rPr>
      <w:rFonts w:hAnsi="华文仿宋"/>
      <w:kern w:val="0"/>
      <w:sz w:val="30"/>
      <w:szCs w:val="30"/>
    </w:rPr>
  </w:style>
  <w:style w:type="character" w:customStyle="1" w:styleId="99">
    <w:name w:val="roll_down"/>
    <w:qFormat/>
    <w:uiPriority w:val="99"/>
    <w:rPr>
      <w:rFonts w:cs="Times New Roman"/>
    </w:rPr>
  </w:style>
  <w:style w:type="character" w:customStyle="1" w:styleId="100">
    <w:name w:val="comment-text-w"/>
    <w:qFormat/>
    <w:uiPriority w:val="99"/>
    <w:rPr>
      <w:rFonts w:ascii="Times New Roman" w:hAnsi="Times New Roman" w:eastAsia="宋体"/>
      <w:color w:val="5788AA"/>
      <w:sz w:val="24"/>
    </w:rPr>
  </w:style>
  <w:style w:type="character" w:customStyle="1" w:styleId="101">
    <w:name w:val="a1"/>
    <w:qFormat/>
    <w:uiPriority w:val="99"/>
    <w:rPr>
      <w:rFonts w:cs="Times New Roman"/>
    </w:rPr>
  </w:style>
  <w:style w:type="character" w:customStyle="1" w:styleId="102">
    <w:name w:val="roll_up"/>
    <w:qFormat/>
    <w:uiPriority w:val="99"/>
    <w:rPr>
      <w:rFonts w:cs="Times New Roman"/>
    </w:rPr>
  </w:style>
  <w:style w:type="character" w:customStyle="1" w:styleId="103">
    <w:name w:val="p_down1"/>
    <w:qFormat/>
    <w:uiPriority w:val="99"/>
    <w:rPr>
      <w:rFonts w:ascii="Times New Roman" w:hAnsi="Times New Roman" w:eastAsia="宋体"/>
      <w:color w:val="069717"/>
      <w:sz w:val="21"/>
    </w:rPr>
  </w:style>
  <w:style w:type="character" w:customStyle="1" w:styleId="104">
    <w:name w:val="before3"/>
    <w:qFormat/>
    <w:uiPriority w:val="99"/>
    <w:rPr>
      <w:rFonts w:cs="Times New Roman"/>
    </w:rPr>
  </w:style>
  <w:style w:type="character" w:customStyle="1" w:styleId="105">
    <w:name w:val="bds_more4"/>
    <w:qFormat/>
    <w:uiPriority w:val="99"/>
    <w:rPr>
      <w:rFonts w:ascii="?? ! important" w:hAnsi="?? ! important" w:eastAsia="Times New Roman"/>
      <w:color w:val="454545"/>
      <w:sz w:val="18"/>
    </w:rPr>
  </w:style>
  <w:style w:type="character" w:customStyle="1" w:styleId="106">
    <w:name w:val="p_flat"/>
    <w:qFormat/>
    <w:uiPriority w:val="99"/>
    <w:rPr>
      <w:rFonts w:cs="Times New Roman"/>
    </w:rPr>
  </w:style>
  <w:style w:type="character" w:customStyle="1" w:styleId="107">
    <w:name w:val="r_down"/>
    <w:qFormat/>
    <w:uiPriority w:val="99"/>
    <w:rPr>
      <w:rFonts w:ascii="Times New Roman" w:hAnsi="Times New Roman" w:eastAsia="宋体"/>
      <w:color w:val="069717"/>
      <w:sz w:val="21"/>
    </w:rPr>
  </w:style>
  <w:style w:type="character" w:customStyle="1" w:styleId="108">
    <w:name w:val="font11"/>
    <w:qFormat/>
    <w:uiPriority w:val="99"/>
    <w:rPr>
      <w:rFonts w:cs="Times New Roman"/>
    </w:rPr>
  </w:style>
  <w:style w:type="character" w:customStyle="1" w:styleId="109">
    <w:name w:val="roll_down_over"/>
    <w:qFormat/>
    <w:uiPriority w:val="99"/>
    <w:rPr>
      <w:rFonts w:cs="Times New Roman"/>
    </w:rPr>
  </w:style>
  <w:style w:type="character" w:customStyle="1" w:styleId="110">
    <w:name w:val="menu1"/>
    <w:qFormat/>
    <w:uiPriority w:val="99"/>
    <w:rPr>
      <w:rFonts w:cs="Times New Roman"/>
    </w:rPr>
  </w:style>
  <w:style w:type="character" w:customStyle="1" w:styleId="111">
    <w:name w:val="photo_pre"/>
    <w:qFormat/>
    <w:uiPriority w:val="99"/>
    <w:rPr>
      <w:rFonts w:cs="Times New Roman"/>
    </w:rPr>
  </w:style>
  <w:style w:type="character" w:customStyle="1" w:styleId="112">
    <w:name w:val="gray"/>
    <w:qFormat/>
    <w:uiPriority w:val="99"/>
    <w:rPr>
      <w:rFonts w:ascii="Times New Roman" w:hAnsi="Times New Roman" w:eastAsia="宋体"/>
      <w:color w:val="868686"/>
      <w:sz w:val="21"/>
    </w:rPr>
  </w:style>
  <w:style w:type="character" w:customStyle="1" w:styleId="113">
    <w:name w:val="before"/>
    <w:qFormat/>
    <w:uiPriority w:val="99"/>
    <w:rPr>
      <w:rFonts w:cs="Times New Roman"/>
    </w:rPr>
  </w:style>
  <w:style w:type="character" w:customStyle="1" w:styleId="114">
    <w:name w:val="menu2"/>
    <w:qFormat/>
    <w:uiPriority w:val="99"/>
    <w:rPr>
      <w:rFonts w:cs="Times New Roman"/>
    </w:rPr>
  </w:style>
  <w:style w:type="character" w:customStyle="1" w:styleId="115">
    <w:name w:val="menu_tools"/>
    <w:qFormat/>
    <w:uiPriority w:val="99"/>
    <w:rPr>
      <w:rFonts w:cs="Times New Roman"/>
    </w:rPr>
  </w:style>
  <w:style w:type="character" w:customStyle="1" w:styleId="116">
    <w:name w:val="before12"/>
    <w:qFormat/>
    <w:uiPriority w:val="99"/>
    <w:rPr>
      <w:rFonts w:cs="Times New Roman"/>
    </w:rPr>
  </w:style>
  <w:style w:type="character" w:customStyle="1" w:styleId="117">
    <w:name w:val="bds_nopic"/>
    <w:qFormat/>
    <w:uiPriority w:val="99"/>
    <w:rPr>
      <w:rFonts w:cs="Times New Roman"/>
    </w:rPr>
  </w:style>
  <w:style w:type="character" w:customStyle="1" w:styleId="118">
    <w:name w:val="tab"/>
    <w:qFormat/>
    <w:uiPriority w:val="99"/>
    <w:rPr>
      <w:rFonts w:ascii="Times New Roman" w:hAnsi="Times New Roman" w:eastAsia="宋体"/>
      <w:color w:val="A4BCD6"/>
      <w:sz w:val="21"/>
    </w:rPr>
  </w:style>
  <w:style w:type="character" w:customStyle="1" w:styleId="119">
    <w:name w:val="bds_more3"/>
    <w:qFormat/>
    <w:uiPriority w:val="99"/>
    <w:rPr>
      <w:rFonts w:ascii="?? ! important" w:hAnsi="?? ! important" w:eastAsia="Times New Roman"/>
      <w:color w:val="454545"/>
      <w:sz w:val="21"/>
    </w:rPr>
  </w:style>
  <w:style w:type="character" w:customStyle="1" w:styleId="120">
    <w:name w:val="before5"/>
    <w:qFormat/>
    <w:uiPriority w:val="99"/>
    <w:rPr>
      <w:rFonts w:cs="Times New Roman"/>
    </w:rPr>
  </w:style>
  <w:style w:type="character" w:customStyle="1" w:styleId="121">
    <w:name w:val="photo_pre_no"/>
    <w:qFormat/>
    <w:uiPriority w:val="99"/>
    <w:rPr>
      <w:rFonts w:cs="Times New Roman"/>
    </w:rPr>
  </w:style>
  <w:style w:type="character" w:customStyle="1" w:styleId="122">
    <w:name w:val="closed"/>
    <w:qFormat/>
    <w:uiPriority w:val="99"/>
    <w:rPr>
      <w:rFonts w:cs="Times New Roman"/>
    </w:rPr>
  </w:style>
  <w:style w:type="character" w:customStyle="1" w:styleId="123">
    <w:name w:val="q3"/>
    <w:qFormat/>
    <w:uiPriority w:val="99"/>
    <w:rPr>
      <w:rFonts w:cs="Times New Roman"/>
    </w:rPr>
  </w:style>
  <w:style w:type="character" w:customStyle="1" w:styleId="124">
    <w:name w:val="a"/>
    <w:qFormat/>
    <w:uiPriority w:val="99"/>
    <w:rPr>
      <w:rFonts w:cs="Times New Roman"/>
    </w:rPr>
  </w:style>
  <w:style w:type="character" w:customStyle="1" w:styleId="125">
    <w:name w:val="bds_more"/>
    <w:qFormat/>
    <w:uiPriority w:val="99"/>
    <w:rPr>
      <w:rFonts w:ascii="宋体" w:hAnsi="宋体" w:eastAsia="宋体"/>
      <w:color w:val="auto"/>
      <w:sz w:val="21"/>
    </w:rPr>
  </w:style>
  <w:style w:type="character" w:customStyle="1" w:styleId="126">
    <w:name w:val="r_down1"/>
    <w:qFormat/>
    <w:uiPriority w:val="99"/>
    <w:rPr>
      <w:rFonts w:ascii="Times New Roman" w:hAnsi="Times New Roman" w:eastAsia="宋体"/>
      <w:color w:val="069717"/>
      <w:sz w:val="21"/>
    </w:rPr>
  </w:style>
  <w:style w:type="character" w:customStyle="1" w:styleId="127">
    <w:name w:val="deleted"/>
    <w:qFormat/>
    <w:uiPriority w:val="99"/>
    <w:rPr>
      <w:rFonts w:cs="Times New Roman"/>
    </w:rPr>
  </w:style>
  <w:style w:type="character" w:customStyle="1" w:styleId="128">
    <w:name w:val="before15"/>
    <w:qFormat/>
    <w:uiPriority w:val="99"/>
    <w:rPr>
      <w:rFonts w:cs="Times New Roman"/>
    </w:rPr>
  </w:style>
  <w:style w:type="character" w:customStyle="1" w:styleId="129">
    <w:name w:val="deleted_over"/>
    <w:qFormat/>
    <w:uiPriority w:val="99"/>
    <w:rPr>
      <w:rFonts w:cs="Times New Roman"/>
    </w:rPr>
  </w:style>
  <w:style w:type="character" w:customStyle="1" w:styleId="130">
    <w:name w:val="ms_news_no"/>
    <w:qFormat/>
    <w:uiPriority w:val="99"/>
    <w:rPr>
      <w:rFonts w:ascii="Times New Roman" w:hAnsi="Times New Roman" w:eastAsia="宋体"/>
      <w:color w:val="999999"/>
      <w:sz w:val="21"/>
    </w:rPr>
  </w:style>
  <w:style w:type="character" w:customStyle="1" w:styleId="131">
    <w:name w:val="menu32"/>
    <w:qFormat/>
    <w:uiPriority w:val="99"/>
    <w:rPr>
      <w:rFonts w:cs="Times New Roman"/>
    </w:rPr>
  </w:style>
  <w:style w:type="character" w:customStyle="1" w:styleId="132">
    <w:name w:val="文档结构图 字符"/>
    <w:link w:val="10"/>
    <w:semiHidden/>
    <w:qFormat/>
    <w:uiPriority w:val="99"/>
    <w:rPr>
      <w:sz w:val="0"/>
      <w:szCs w:val="0"/>
    </w:rPr>
  </w:style>
  <w:style w:type="paragraph" w:customStyle="1" w:styleId="133">
    <w:name w:val="Char"/>
    <w:basedOn w:val="1"/>
    <w:qFormat/>
    <w:uiPriority w:val="99"/>
    <w:pPr>
      <w:tabs>
        <w:tab w:val="left" w:pos="425"/>
      </w:tabs>
      <w:autoSpaceDE w:val="0"/>
      <w:autoSpaceDN w:val="0"/>
      <w:adjustRightInd w:val="0"/>
      <w:spacing w:line="360" w:lineRule="auto"/>
      <w:ind w:left="425" w:hanging="425"/>
    </w:pPr>
  </w:style>
  <w:style w:type="character" w:customStyle="1" w:styleId="134">
    <w:name w:val="批注文字 字符"/>
    <w:link w:val="11"/>
    <w:semiHidden/>
    <w:qFormat/>
    <w:uiPriority w:val="99"/>
    <w:rPr>
      <w:szCs w:val="24"/>
    </w:rPr>
  </w:style>
  <w:style w:type="paragraph" w:customStyle="1" w:styleId="135">
    <w:name w:val="z-窗体顶端1"/>
    <w:basedOn w:val="1"/>
    <w:next w:val="1"/>
    <w:link w:val="136"/>
    <w:qFormat/>
    <w:uiPriority w:val="99"/>
    <w:pPr>
      <w:pBdr>
        <w:bottom w:val="single" w:color="auto" w:sz="6" w:space="1"/>
      </w:pBdr>
      <w:jc w:val="center"/>
    </w:pPr>
    <w:rPr>
      <w:rFonts w:ascii="Arial"/>
      <w:vanish/>
      <w:sz w:val="16"/>
    </w:rPr>
  </w:style>
  <w:style w:type="character" w:customStyle="1" w:styleId="136">
    <w:name w:val="z-窗体顶端 字符"/>
    <w:link w:val="135"/>
    <w:semiHidden/>
    <w:qFormat/>
    <w:uiPriority w:val="99"/>
    <w:rPr>
      <w:rFonts w:ascii="Arial" w:hAnsi="Arial" w:cs="Arial"/>
      <w:vanish/>
      <w:sz w:val="16"/>
      <w:szCs w:val="16"/>
    </w:rPr>
  </w:style>
  <w:style w:type="character" w:customStyle="1" w:styleId="137">
    <w:name w:val="页脚 字符"/>
    <w:link w:val="20"/>
    <w:qFormat/>
    <w:uiPriority w:val="99"/>
    <w:rPr>
      <w:sz w:val="18"/>
      <w:szCs w:val="18"/>
    </w:rPr>
  </w:style>
  <w:style w:type="paragraph" w:customStyle="1" w:styleId="138">
    <w:name w:val="样式 标题 3 + 楷体_GB2312 小四 行距: 单倍行距1"/>
    <w:basedOn w:val="5"/>
    <w:next w:val="5"/>
    <w:qFormat/>
    <w:uiPriority w:val="99"/>
    <w:pPr>
      <w:spacing w:line="240" w:lineRule="auto"/>
    </w:pPr>
    <w:rPr>
      <w:rFonts w:ascii="楷体_GB2312" w:hAnsi="楷体_GB2312" w:eastAsia="楷体_GB2312" w:cs="宋体"/>
      <w:b w:val="0"/>
      <w:sz w:val="24"/>
      <w:szCs w:val="24"/>
    </w:rPr>
  </w:style>
  <w:style w:type="character" w:customStyle="1" w:styleId="139">
    <w:name w:val="日期 字符"/>
    <w:link w:val="17"/>
    <w:semiHidden/>
    <w:qFormat/>
    <w:uiPriority w:val="99"/>
    <w:rPr>
      <w:szCs w:val="24"/>
    </w:rPr>
  </w:style>
  <w:style w:type="paragraph" w:customStyle="1" w:styleId="140">
    <w:name w:val="样式1"/>
    <w:basedOn w:val="1"/>
    <w:qFormat/>
    <w:uiPriority w:val="99"/>
    <w:rPr>
      <w:rFonts w:eastAsia="楷体_GB2312"/>
    </w:rPr>
  </w:style>
  <w:style w:type="character" w:customStyle="1" w:styleId="141">
    <w:name w:val="正文文本缩进 2 字符"/>
    <w:link w:val="18"/>
    <w:semiHidden/>
    <w:qFormat/>
    <w:uiPriority w:val="99"/>
    <w:rPr>
      <w:szCs w:val="24"/>
    </w:rPr>
  </w:style>
  <w:style w:type="paragraph" w:customStyle="1" w:styleId="142">
    <w:name w:val="Char2"/>
    <w:basedOn w:val="1"/>
    <w:qFormat/>
    <w:uiPriority w:val="99"/>
    <w:pPr>
      <w:snapToGrid w:val="0"/>
      <w:spacing w:line="520" w:lineRule="exact"/>
      <w:ind w:firstLine="200" w:firstLineChars="200"/>
    </w:pPr>
    <w:rPr>
      <w:rFonts w:eastAsia="仿宋_GB2312"/>
      <w:sz w:val="28"/>
      <w:szCs w:val="28"/>
    </w:rPr>
  </w:style>
  <w:style w:type="character" w:customStyle="1" w:styleId="143">
    <w:name w:val="正文文本 字符"/>
    <w:link w:val="12"/>
    <w:semiHidden/>
    <w:qFormat/>
    <w:uiPriority w:val="99"/>
    <w:rPr>
      <w:szCs w:val="24"/>
    </w:rPr>
  </w:style>
  <w:style w:type="character" w:customStyle="1" w:styleId="144">
    <w:name w:val="页眉 字符"/>
    <w:link w:val="21"/>
    <w:semiHidden/>
    <w:qFormat/>
    <w:uiPriority w:val="99"/>
    <w:rPr>
      <w:sz w:val="18"/>
      <w:szCs w:val="18"/>
    </w:rPr>
  </w:style>
  <w:style w:type="character" w:customStyle="1" w:styleId="145">
    <w:name w:val="批注框文本 字符"/>
    <w:link w:val="19"/>
    <w:semiHidden/>
    <w:qFormat/>
    <w:uiPriority w:val="99"/>
    <w:rPr>
      <w:sz w:val="0"/>
      <w:szCs w:val="0"/>
    </w:rPr>
  </w:style>
  <w:style w:type="paragraph" w:customStyle="1" w:styleId="146">
    <w:name w:val="z-窗体底端1"/>
    <w:basedOn w:val="1"/>
    <w:next w:val="1"/>
    <w:link w:val="147"/>
    <w:qFormat/>
    <w:uiPriority w:val="99"/>
    <w:pPr>
      <w:pBdr>
        <w:top w:val="single" w:color="auto" w:sz="6" w:space="1"/>
      </w:pBdr>
      <w:jc w:val="center"/>
    </w:pPr>
    <w:rPr>
      <w:rFonts w:ascii="Arial"/>
      <w:vanish/>
      <w:sz w:val="16"/>
    </w:rPr>
  </w:style>
  <w:style w:type="character" w:customStyle="1" w:styleId="147">
    <w:name w:val="z-窗体底端 字符"/>
    <w:link w:val="146"/>
    <w:semiHidden/>
    <w:qFormat/>
    <w:uiPriority w:val="99"/>
    <w:rPr>
      <w:rFonts w:ascii="Arial" w:hAnsi="Arial" w:cs="Arial"/>
      <w:vanish/>
      <w:sz w:val="16"/>
      <w:szCs w:val="16"/>
    </w:rPr>
  </w:style>
  <w:style w:type="paragraph" w:customStyle="1" w:styleId="148">
    <w:name w:val="_Style 1"/>
    <w:basedOn w:val="1"/>
    <w:next w:val="1"/>
    <w:qFormat/>
    <w:uiPriority w:val="99"/>
    <w:pPr>
      <w:pBdr>
        <w:top w:val="single" w:color="auto" w:sz="6" w:space="1"/>
      </w:pBdr>
      <w:jc w:val="center"/>
    </w:pPr>
    <w:rPr>
      <w:rFonts w:ascii="Arial"/>
      <w:vanish/>
      <w:sz w:val="16"/>
    </w:rPr>
  </w:style>
  <w:style w:type="character" w:customStyle="1" w:styleId="149">
    <w:name w:val="正文文本缩进 字符"/>
    <w:link w:val="13"/>
    <w:semiHidden/>
    <w:qFormat/>
    <w:uiPriority w:val="99"/>
    <w:rPr>
      <w:szCs w:val="24"/>
    </w:rPr>
  </w:style>
  <w:style w:type="paragraph" w:customStyle="1" w:styleId="150">
    <w:name w:val="样式 标题 3 +"/>
    <w:basedOn w:val="1"/>
    <w:qFormat/>
    <w:uiPriority w:val="99"/>
    <w:pPr>
      <w:ind w:left="100" w:leftChars="100" w:right="100" w:rightChars="100"/>
    </w:pPr>
    <w:rPr>
      <w:rFonts w:eastAsia="楷体_GB2312"/>
      <w:sz w:val="24"/>
    </w:rPr>
  </w:style>
  <w:style w:type="character" w:customStyle="1" w:styleId="151">
    <w:name w:val="批注主题 字符"/>
    <w:link w:val="29"/>
    <w:semiHidden/>
    <w:qFormat/>
    <w:uiPriority w:val="99"/>
    <w:rPr>
      <w:b/>
      <w:bCs/>
      <w:szCs w:val="24"/>
    </w:rPr>
  </w:style>
  <w:style w:type="paragraph" w:customStyle="1" w:styleId="152">
    <w:name w:val="Default"/>
    <w:qFormat/>
    <w:uiPriority w:val="99"/>
    <w:pPr>
      <w:widowControl w:val="0"/>
      <w:autoSpaceDE w:val="0"/>
      <w:autoSpaceDN w:val="0"/>
      <w:adjustRightInd w:val="0"/>
    </w:pPr>
    <w:rPr>
      <w:rFonts w:ascii="黑体" w:hAnsi="Times New Roman" w:eastAsia="黑体" w:cs="Times New Roman"/>
      <w:color w:val="000000"/>
      <w:sz w:val="24"/>
      <w:szCs w:val="24"/>
      <w:lang w:val="en-US" w:eastAsia="zh-CN" w:bidi="ar-SA"/>
    </w:rPr>
  </w:style>
  <w:style w:type="character" w:customStyle="1" w:styleId="153">
    <w:name w:val="标题 字符"/>
    <w:link w:val="28"/>
    <w:qFormat/>
    <w:locked/>
    <w:uiPriority w:val="99"/>
    <w:rPr>
      <w:rFonts w:ascii="Cambria" w:hAnsi="Cambria" w:cs="Times New Roman"/>
      <w:b/>
      <w:bCs/>
      <w:kern w:val="2"/>
      <w:sz w:val="32"/>
      <w:szCs w:val="32"/>
    </w:rPr>
  </w:style>
  <w:style w:type="paragraph" w:customStyle="1" w:styleId="154">
    <w:name w:val="Char1"/>
    <w:basedOn w:val="1"/>
    <w:qFormat/>
    <w:uiPriority w:val="99"/>
    <w:pPr>
      <w:tabs>
        <w:tab w:val="left" w:pos="425"/>
      </w:tabs>
      <w:autoSpaceDE w:val="0"/>
      <w:autoSpaceDN w:val="0"/>
      <w:adjustRightInd w:val="0"/>
      <w:spacing w:line="360" w:lineRule="auto"/>
      <w:ind w:left="425" w:hanging="425"/>
    </w:pPr>
  </w:style>
  <w:style w:type="paragraph" w:styleId="155">
    <w:name w:val="List Paragraph"/>
    <w:basedOn w:val="1"/>
    <w:qFormat/>
    <w:uiPriority w:val="99"/>
    <w:pPr>
      <w:ind w:firstLine="420" w:firstLineChars="200"/>
    </w:pPr>
  </w:style>
  <w:style w:type="character" w:customStyle="1" w:styleId="156">
    <w:name w:val="标题 2 Char"/>
    <w:qFormat/>
    <w:uiPriority w:val="9"/>
    <w:rPr>
      <w:rFonts w:ascii="Arial" w:hAnsi="Arial" w:eastAsia="黑体"/>
      <w:b/>
      <w:bCs/>
      <w:kern w:val="2"/>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WwW.YlmF.CoM</Company>
  <Pages>24</Pages>
  <Words>11452</Words>
  <Characters>11915</Characters>
  <Lines>90</Lines>
  <Paragraphs>25</Paragraphs>
  <TotalTime>1</TotalTime>
  <ScaleCrop>false</ScaleCrop>
  <LinksUpToDate>false</LinksUpToDate>
  <CharactersWithSpaces>11950</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2023-03-03T18:28:00Z</dcterms:created>
  <dc:creator>YlmF</dc:creator>
  <cp:lastModifiedBy>user</cp:lastModifiedBy>
  <cp:lastPrinted>2023-05-03T17:26:00Z</cp:lastPrinted>
  <dcterms:modified xsi:type="dcterms:W3CDTF">2025-03-04T17:42:17Z</dcterms:modified>
  <dc:title>三、规划内容</dc:title>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y fmtid="{D5CDD505-2E9C-101B-9397-08002B2CF9AE}" pid="3" name="ICV">
    <vt:lpwstr>35770CB1C20340E9A9380150F6D894BC_13</vt:lpwstr>
  </property>
</Properties>
</file>